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C71" w:rsidRPr="00B30C71" w:rsidRDefault="00B30C71" w:rsidP="00B30C71">
      <w:pPr>
        <w:spacing w:after="0" w:line="240" w:lineRule="auto"/>
        <w:jc w:val="center"/>
        <w:rPr>
          <w:rFonts w:ascii="Times New Roman" w:eastAsia="Times New Roman" w:hAnsi="Times New Roman" w:cs="Times New Roman"/>
          <w:b/>
          <w:sz w:val="24"/>
          <w:szCs w:val="24"/>
        </w:rPr>
      </w:pPr>
      <w:r w:rsidRPr="00B30C71">
        <w:rPr>
          <w:rFonts w:ascii="Times New Roman" w:eastAsia="Times New Roman" w:hAnsi="Times New Roman" w:cs="Times New Roman"/>
          <w:noProof/>
          <w:sz w:val="20"/>
          <w:szCs w:val="20"/>
        </w:rPr>
        <w:drawing>
          <wp:inline distT="0" distB="0" distL="0" distR="0" wp14:anchorId="280BD949" wp14:editId="699B8222">
            <wp:extent cx="1767840" cy="421640"/>
            <wp:effectExtent l="0" t="0" r="3810" b="0"/>
            <wp:docPr id="2" name="Picture 2" descr="NAH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HM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7840" cy="421640"/>
                    </a:xfrm>
                    <a:prstGeom prst="rect">
                      <a:avLst/>
                    </a:prstGeom>
                    <a:noFill/>
                    <a:ln>
                      <a:noFill/>
                    </a:ln>
                  </pic:spPr>
                </pic:pic>
              </a:graphicData>
            </a:graphic>
          </wp:inline>
        </w:drawing>
      </w:r>
    </w:p>
    <w:p w:rsidR="00B30C71" w:rsidRPr="00B30C71" w:rsidRDefault="00B30C71" w:rsidP="00B30C71">
      <w:pPr>
        <w:spacing w:after="0" w:line="240" w:lineRule="auto"/>
        <w:jc w:val="center"/>
        <w:rPr>
          <w:rFonts w:ascii="Times New Roman" w:eastAsia="Times New Roman" w:hAnsi="Times New Roman" w:cs="Times New Roman"/>
          <w:b/>
          <w:sz w:val="16"/>
          <w:szCs w:val="24"/>
        </w:rPr>
      </w:pPr>
    </w:p>
    <w:p w:rsidR="00B30C71" w:rsidRPr="00B30C71" w:rsidRDefault="00B30C71" w:rsidP="00B30C71">
      <w:pPr>
        <w:spacing w:after="0" w:line="240" w:lineRule="auto"/>
        <w:jc w:val="center"/>
        <w:rPr>
          <w:rFonts w:ascii="Times New Roman" w:eastAsia="Times New Roman" w:hAnsi="Times New Roman" w:cs="Times New Roman"/>
          <w:b/>
          <w:sz w:val="24"/>
          <w:szCs w:val="24"/>
        </w:rPr>
      </w:pPr>
      <w:r w:rsidRPr="00B30C71">
        <w:rPr>
          <w:rFonts w:ascii="Times New Roman" w:eastAsia="Times New Roman" w:hAnsi="Times New Roman" w:cs="Times New Roman"/>
          <w:b/>
          <w:sz w:val="24"/>
          <w:szCs w:val="24"/>
        </w:rPr>
        <w:t>The National Affordable Housing Management Association</w:t>
      </w:r>
    </w:p>
    <w:p w:rsidR="00B30C71" w:rsidRPr="00B30C71" w:rsidRDefault="00B30C71" w:rsidP="00B30C71">
      <w:pPr>
        <w:spacing w:after="0" w:line="240" w:lineRule="auto"/>
        <w:jc w:val="center"/>
        <w:rPr>
          <w:rFonts w:ascii="Times New Roman" w:eastAsia="Times New Roman" w:hAnsi="Times New Roman" w:cs="Times New Roman"/>
          <w:b/>
          <w:sz w:val="24"/>
          <w:szCs w:val="24"/>
        </w:rPr>
      </w:pPr>
      <w:r w:rsidRPr="00B30C71">
        <w:rPr>
          <w:rFonts w:ascii="Times New Roman" w:eastAsia="Times New Roman" w:hAnsi="Times New Roman" w:cs="Times New Roman"/>
          <w:b/>
          <w:sz w:val="24"/>
          <w:szCs w:val="24"/>
        </w:rPr>
        <w:t>FY 2016 APPROPRIATIONS REQUEST SUMMARY</w:t>
      </w:r>
    </w:p>
    <w:p w:rsidR="00B30C71" w:rsidRPr="00B30C71" w:rsidRDefault="00B30C71" w:rsidP="00B30C71">
      <w:pPr>
        <w:spacing w:after="0" w:line="240" w:lineRule="auto"/>
        <w:jc w:val="center"/>
        <w:rPr>
          <w:rFonts w:ascii="Times New Roman" w:eastAsia="Times New Roman" w:hAnsi="Times New Roman" w:cs="Times New Roman"/>
          <w:b/>
          <w:sz w:val="8"/>
          <w:szCs w:val="24"/>
        </w:rPr>
      </w:pPr>
    </w:p>
    <w:p w:rsidR="00B30C71" w:rsidRPr="00B30C71" w:rsidRDefault="00B30C71" w:rsidP="00B30C71">
      <w:pPr>
        <w:spacing w:after="0" w:line="240" w:lineRule="auto"/>
        <w:rPr>
          <w:rFonts w:ascii="Times New Roman" w:eastAsia="Times New Roman" w:hAnsi="Times New Roman" w:cs="Times New Roman"/>
          <w:b/>
        </w:rPr>
      </w:pPr>
      <w:r w:rsidRPr="00B30C71">
        <w:rPr>
          <w:rFonts w:ascii="Times New Roman" w:eastAsia="Times New Roman" w:hAnsi="Times New Roman" w:cs="Times New Roman"/>
          <w:i/>
        </w:rPr>
        <w:t>Name of Program</w:t>
      </w:r>
      <w:r w:rsidRPr="00B30C71">
        <w:rPr>
          <w:rFonts w:ascii="Times New Roman" w:eastAsia="Times New Roman" w:hAnsi="Times New Roman" w:cs="Times New Roman"/>
        </w:rPr>
        <w:t>: Project-Based Rental Assistance</w:t>
      </w:r>
    </w:p>
    <w:p w:rsidR="00B30C71" w:rsidRPr="00B30C71" w:rsidRDefault="00B30C71" w:rsidP="00B30C71">
      <w:pPr>
        <w:spacing w:after="0" w:line="240" w:lineRule="auto"/>
        <w:rPr>
          <w:rFonts w:ascii="Times New Roman" w:eastAsia="Times New Roman" w:hAnsi="Times New Roman" w:cs="Times New Roman"/>
        </w:rPr>
      </w:pPr>
      <w:r w:rsidRPr="00B30C71">
        <w:rPr>
          <w:rFonts w:ascii="Times New Roman" w:eastAsia="Times New Roman" w:hAnsi="Times New Roman" w:cs="Times New Roman"/>
          <w:i/>
        </w:rPr>
        <w:t>Appropriations bill</w:t>
      </w:r>
      <w:r w:rsidRPr="00B30C71">
        <w:rPr>
          <w:rFonts w:ascii="Times New Roman" w:eastAsia="Times New Roman" w:hAnsi="Times New Roman" w:cs="Times New Roman"/>
        </w:rPr>
        <w:t>: Transportation, HUD and Related Agencies</w:t>
      </w:r>
    </w:p>
    <w:p w:rsidR="00B30C71" w:rsidRPr="00B30C71" w:rsidRDefault="00B30C71" w:rsidP="00B30C71">
      <w:pPr>
        <w:spacing w:after="0" w:line="240" w:lineRule="auto"/>
        <w:rPr>
          <w:rFonts w:ascii="Times New Roman" w:eastAsia="Times New Roman" w:hAnsi="Times New Roman" w:cs="Times New Roman"/>
        </w:rPr>
      </w:pPr>
      <w:r w:rsidRPr="00B30C71">
        <w:rPr>
          <w:rFonts w:ascii="Times New Roman" w:eastAsia="Times New Roman" w:hAnsi="Times New Roman" w:cs="Times New Roman"/>
          <w:i/>
        </w:rPr>
        <w:t>Senate subcommittee chairman</w:t>
      </w:r>
      <w:r w:rsidRPr="00B30C71">
        <w:rPr>
          <w:rFonts w:ascii="Times New Roman" w:eastAsia="Times New Roman" w:hAnsi="Times New Roman" w:cs="Times New Roman"/>
        </w:rPr>
        <w:t>: Senator Susan Collins</w:t>
      </w:r>
    </w:p>
    <w:p w:rsidR="00B30C71" w:rsidRPr="00B30C71" w:rsidRDefault="00B30C71" w:rsidP="00B30C71">
      <w:pPr>
        <w:spacing w:after="0" w:line="240" w:lineRule="auto"/>
        <w:rPr>
          <w:rFonts w:ascii="Times New Roman" w:eastAsia="Times New Roman" w:hAnsi="Times New Roman" w:cs="Times New Roman"/>
        </w:rPr>
      </w:pPr>
      <w:r w:rsidRPr="00B30C71">
        <w:rPr>
          <w:rFonts w:ascii="Times New Roman" w:eastAsia="Times New Roman" w:hAnsi="Times New Roman" w:cs="Times New Roman"/>
          <w:i/>
        </w:rPr>
        <w:t>Senate subcommittee ranking member</w:t>
      </w:r>
      <w:r w:rsidRPr="00B30C71">
        <w:rPr>
          <w:rFonts w:ascii="Times New Roman" w:eastAsia="Times New Roman" w:hAnsi="Times New Roman" w:cs="Times New Roman"/>
        </w:rPr>
        <w:t>: Senator Jack Reed</w:t>
      </w:r>
    </w:p>
    <w:p w:rsidR="00B30C71" w:rsidRPr="00B30C71" w:rsidRDefault="00B30C71" w:rsidP="00B30C71">
      <w:pPr>
        <w:spacing w:after="0" w:line="240" w:lineRule="auto"/>
        <w:rPr>
          <w:rFonts w:ascii="Times New Roman" w:eastAsia="Times New Roman" w:hAnsi="Times New Roman" w:cs="Times New Roman"/>
        </w:rPr>
      </w:pPr>
      <w:r w:rsidRPr="00B30C71">
        <w:rPr>
          <w:rFonts w:ascii="Times New Roman" w:eastAsia="Times New Roman" w:hAnsi="Times New Roman" w:cs="Times New Roman"/>
          <w:i/>
        </w:rPr>
        <w:t>House subcommittee chairman</w:t>
      </w:r>
      <w:r w:rsidRPr="00B30C71">
        <w:rPr>
          <w:rFonts w:ascii="Times New Roman" w:eastAsia="Times New Roman" w:hAnsi="Times New Roman" w:cs="Times New Roman"/>
        </w:rPr>
        <w:t>: Representative Mario Diaz-Balart</w:t>
      </w:r>
    </w:p>
    <w:p w:rsidR="00B30C71" w:rsidRPr="00B30C71" w:rsidRDefault="00B30C71" w:rsidP="00B30C71">
      <w:pPr>
        <w:spacing w:after="0" w:line="240" w:lineRule="auto"/>
        <w:rPr>
          <w:rFonts w:ascii="Times New Roman" w:eastAsia="Times New Roman" w:hAnsi="Times New Roman" w:cs="Times New Roman"/>
        </w:rPr>
      </w:pPr>
      <w:r w:rsidRPr="00B30C71">
        <w:rPr>
          <w:rFonts w:ascii="Times New Roman" w:eastAsia="Times New Roman" w:hAnsi="Times New Roman" w:cs="Times New Roman"/>
          <w:i/>
        </w:rPr>
        <w:t>House subcommittee ranking member</w:t>
      </w:r>
      <w:r w:rsidRPr="00B30C71">
        <w:rPr>
          <w:rFonts w:ascii="Times New Roman" w:eastAsia="Times New Roman" w:hAnsi="Times New Roman" w:cs="Times New Roman"/>
        </w:rPr>
        <w:t>: Representative David Price</w:t>
      </w:r>
    </w:p>
    <w:p w:rsidR="00B30C71" w:rsidRPr="00B30C71" w:rsidRDefault="00B30C71" w:rsidP="00B30C71">
      <w:pPr>
        <w:spacing w:after="0" w:line="240" w:lineRule="auto"/>
        <w:rPr>
          <w:rFonts w:ascii="Times New Roman" w:eastAsia="Times New Roman" w:hAnsi="Times New Roman" w:cs="Times New Roman"/>
        </w:rPr>
      </w:pPr>
      <w:r w:rsidRPr="00B30C71">
        <w:rPr>
          <w:rFonts w:ascii="Times New Roman" w:eastAsia="Times New Roman" w:hAnsi="Times New Roman" w:cs="Times New Roman"/>
          <w:i/>
        </w:rPr>
        <w:t>Department</w:t>
      </w:r>
      <w:r w:rsidRPr="00B30C71">
        <w:rPr>
          <w:rFonts w:ascii="Times New Roman" w:eastAsia="Times New Roman" w:hAnsi="Times New Roman" w:cs="Times New Roman"/>
        </w:rPr>
        <w:t>: United States Department of Housing and Urban Development</w:t>
      </w:r>
    </w:p>
    <w:p w:rsidR="00B30C71" w:rsidRPr="00B30C71" w:rsidRDefault="00B30C71" w:rsidP="00B30C71">
      <w:pPr>
        <w:spacing w:after="0" w:line="240" w:lineRule="auto"/>
        <w:rPr>
          <w:rFonts w:ascii="Times New Roman" w:eastAsia="Times New Roman" w:hAnsi="Times New Roman" w:cs="Times New Roman"/>
        </w:rPr>
      </w:pPr>
      <w:r w:rsidRPr="00B30C71">
        <w:rPr>
          <w:rFonts w:ascii="Times New Roman" w:eastAsia="Times New Roman" w:hAnsi="Times New Roman" w:cs="Times New Roman"/>
          <w:i/>
        </w:rPr>
        <w:t>Division:</w:t>
      </w:r>
      <w:r w:rsidRPr="00B30C71">
        <w:rPr>
          <w:rFonts w:ascii="Times New Roman" w:eastAsia="Times New Roman" w:hAnsi="Times New Roman" w:cs="Times New Roman"/>
        </w:rPr>
        <w:t xml:space="preserve"> Office of Multifamily Housing</w:t>
      </w:r>
    </w:p>
    <w:p w:rsidR="00B30C71" w:rsidRPr="00B30C71" w:rsidRDefault="00B30C71" w:rsidP="00B30C71">
      <w:pPr>
        <w:spacing w:after="0" w:line="240" w:lineRule="auto"/>
        <w:rPr>
          <w:rFonts w:ascii="Times New Roman" w:eastAsia="Times New Roman" w:hAnsi="Times New Roman" w:cs="Times New Roman"/>
        </w:rPr>
      </w:pPr>
      <w:r w:rsidRPr="00B30C71">
        <w:rPr>
          <w:rFonts w:ascii="Times New Roman" w:eastAsia="Times New Roman" w:hAnsi="Times New Roman" w:cs="Times New Roman"/>
          <w:i/>
        </w:rPr>
        <w:t>Appropriations account</w:t>
      </w:r>
      <w:r w:rsidRPr="00B30C71">
        <w:rPr>
          <w:rFonts w:ascii="Times New Roman" w:eastAsia="Times New Roman" w:hAnsi="Times New Roman" w:cs="Times New Roman"/>
        </w:rPr>
        <w:t>: Project-Based Rental Assistance (includes contract renewals, amendments and performance-based contract administrators)</w:t>
      </w:r>
    </w:p>
    <w:p w:rsidR="00B30C71" w:rsidRPr="00B30C71" w:rsidRDefault="00B30C71" w:rsidP="00B30C71">
      <w:pPr>
        <w:spacing w:after="0" w:line="240" w:lineRule="auto"/>
        <w:rPr>
          <w:rFonts w:ascii="Times New Roman" w:eastAsia="Times New Roman" w:hAnsi="Times New Roman" w:cs="Times New Roman"/>
        </w:rPr>
      </w:pPr>
      <w:r w:rsidRPr="00B30C71">
        <w:rPr>
          <w:rFonts w:ascii="Times New Roman" w:eastAsia="Times New Roman" w:hAnsi="Times New Roman" w:cs="Times New Roman"/>
          <w:i/>
        </w:rPr>
        <w:t>Authorization</w:t>
      </w:r>
      <w:r w:rsidRPr="00B30C71">
        <w:rPr>
          <w:rFonts w:ascii="Times New Roman" w:eastAsia="Times New Roman" w:hAnsi="Times New Roman" w:cs="Times New Roman"/>
        </w:rPr>
        <w:t>: (42 U.S.C. 1437 et seq.)</w:t>
      </w:r>
    </w:p>
    <w:p w:rsidR="00B30C71" w:rsidRPr="00B30C71" w:rsidRDefault="00B30C71" w:rsidP="00B30C71">
      <w:pPr>
        <w:spacing w:after="0" w:line="240" w:lineRule="auto"/>
        <w:rPr>
          <w:rFonts w:ascii="Times New Roman" w:eastAsia="Times New Roman" w:hAnsi="Times New Roman" w:cs="Times New Roman"/>
          <w:szCs w:val="16"/>
        </w:rPr>
      </w:pPr>
      <w:r w:rsidRPr="00B30C71">
        <w:rPr>
          <w:rFonts w:ascii="Times New Roman" w:eastAsia="Times New Roman" w:hAnsi="Times New Roman" w:cs="Times New Roman"/>
          <w:i/>
        </w:rPr>
        <w:t>President’s FY 2016 budget request</w:t>
      </w:r>
      <w:r w:rsidRPr="00B30C71">
        <w:rPr>
          <w:rFonts w:ascii="Times New Roman" w:eastAsia="Times New Roman" w:hAnsi="Times New Roman" w:cs="Times New Roman"/>
        </w:rPr>
        <w:t xml:space="preserve">:  $10,760,000,000 </w:t>
      </w:r>
      <w:r w:rsidRPr="00B30C71">
        <w:rPr>
          <w:rFonts w:ascii="Times New Roman" w:eastAsia="Times New Roman" w:hAnsi="Times New Roman" w:cs="Times New Roman"/>
          <w:szCs w:val="16"/>
        </w:rPr>
        <w:t>(includes the $10.545 billion cost of contract renewals and amendments and up to $215 million for performance-based contract administrators)</w:t>
      </w:r>
    </w:p>
    <w:p w:rsidR="00B30C71" w:rsidRPr="00B30C71" w:rsidRDefault="00B30C71" w:rsidP="00B30C71">
      <w:pPr>
        <w:spacing w:after="0" w:line="240" w:lineRule="auto"/>
        <w:rPr>
          <w:rFonts w:ascii="Times New Roman" w:eastAsia="Times New Roman" w:hAnsi="Times New Roman" w:cs="Times New Roman"/>
          <w:sz w:val="10"/>
          <w:szCs w:val="16"/>
        </w:rPr>
      </w:pPr>
    </w:p>
    <w:tbl>
      <w:tblPr>
        <w:tblW w:w="0" w:type="auto"/>
        <w:jc w:val="center"/>
        <w:tblBorders>
          <w:insideH w:val="single" w:sz="4" w:space="0" w:color="auto"/>
          <w:insideV w:val="single" w:sz="4" w:space="0" w:color="auto"/>
        </w:tblBorders>
        <w:tblLook w:val="04A0" w:firstRow="1" w:lastRow="0" w:firstColumn="1" w:lastColumn="0" w:noHBand="0" w:noVBand="1"/>
      </w:tblPr>
      <w:tblGrid>
        <w:gridCol w:w="922"/>
        <w:gridCol w:w="5091"/>
      </w:tblGrid>
      <w:tr w:rsidR="00B30C71" w:rsidRPr="00B30C71" w:rsidTr="006209D7">
        <w:trPr>
          <w:jc w:val="center"/>
        </w:trPr>
        <w:tc>
          <w:tcPr>
            <w:tcW w:w="6017" w:type="dxa"/>
            <w:gridSpan w:val="2"/>
            <w:tcBorders>
              <w:top w:val="nil"/>
              <w:left w:val="nil"/>
              <w:bottom w:val="single" w:sz="4" w:space="0" w:color="auto"/>
              <w:right w:val="nil"/>
            </w:tcBorders>
            <w:vAlign w:val="center"/>
            <w:hideMark/>
          </w:tcPr>
          <w:p w:rsidR="00B30C71" w:rsidRPr="00B30C71" w:rsidRDefault="00B30C71" w:rsidP="00B30C71">
            <w:pPr>
              <w:spacing w:after="0" w:line="240" w:lineRule="auto"/>
              <w:jc w:val="center"/>
              <w:rPr>
                <w:rFonts w:ascii="Times New Roman" w:eastAsia="Times New Roman" w:hAnsi="Times New Roman" w:cs="Times New Roman"/>
                <w:b/>
                <w:szCs w:val="24"/>
              </w:rPr>
            </w:pPr>
            <w:r w:rsidRPr="00B30C71">
              <w:rPr>
                <w:rFonts w:ascii="Times New Roman" w:eastAsia="Times New Roman" w:hAnsi="Times New Roman" w:cs="Times New Roman"/>
                <w:b/>
                <w:szCs w:val="24"/>
              </w:rPr>
              <w:t>Funding History</w:t>
            </w:r>
          </w:p>
          <w:p w:rsidR="00B30C71" w:rsidRPr="00B30C71" w:rsidRDefault="00B30C71" w:rsidP="00B30C71">
            <w:pPr>
              <w:spacing w:after="0" w:line="240" w:lineRule="auto"/>
              <w:jc w:val="center"/>
              <w:rPr>
                <w:rFonts w:ascii="Times New Roman" w:eastAsia="Times New Roman" w:hAnsi="Times New Roman" w:cs="Times New Roman"/>
                <w:kern w:val="22"/>
                <w:sz w:val="24"/>
                <w:szCs w:val="24"/>
              </w:rPr>
            </w:pPr>
            <w:r w:rsidRPr="00B30C71">
              <w:rPr>
                <w:rFonts w:ascii="Times New Roman" w:eastAsia="Times New Roman" w:hAnsi="Times New Roman" w:cs="Times New Roman"/>
                <w:sz w:val="18"/>
                <w:szCs w:val="24"/>
              </w:rPr>
              <w:t>(figures includes $400 million advanced appropriation)</w:t>
            </w:r>
          </w:p>
        </w:tc>
      </w:tr>
      <w:tr w:rsidR="00B30C71" w:rsidRPr="00B30C71" w:rsidTr="006209D7">
        <w:trPr>
          <w:jc w:val="center"/>
        </w:trPr>
        <w:tc>
          <w:tcPr>
            <w:tcW w:w="0" w:type="auto"/>
            <w:tcBorders>
              <w:top w:val="single" w:sz="4" w:space="0" w:color="auto"/>
              <w:left w:val="nil"/>
              <w:bottom w:val="single" w:sz="4" w:space="0" w:color="auto"/>
              <w:right w:val="single" w:sz="4" w:space="0" w:color="auto"/>
            </w:tcBorders>
          </w:tcPr>
          <w:p w:rsidR="00B30C71" w:rsidRPr="00B30C71" w:rsidRDefault="00B30C71" w:rsidP="00B30C71">
            <w:pPr>
              <w:spacing w:after="115" w:line="280" w:lineRule="exact"/>
              <w:rPr>
                <w:rFonts w:ascii="Times New Roman" w:eastAsia="Times New Roman" w:hAnsi="Times New Roman" w:cs="Times New Roman"/>
                <w:kern w:val="22"/>
                <w:sz w:val="20"/>
                <w:szCs w:val="20"/>
              </w:rPr>
            </w:pPr>
            <w:r w:rsidRPr="00B30C71">
              <w:rPr>
                <w:rFonts w:ascii="Times New Roman" w:eastAsia="Times New Roman" w:hAnsi="Times New Roman" w:cs="Times New Roman"/>
                <w:kern w:val="22"/>
                <w:sz w:val="20"/>
                <w:szCs w:val="20"/>
              </w:rPr>
              <w:t>FY 2011</w:t>
            </w:r>
          </w:p>
        </w:tc>
        <w:tc>
          <w:tcPr>
            <w:tcW w:w="5091" w:type="dxa"/>
            <w:tcBorders>
              <w:top w:val="single" w:sz="4" w:space="0" w:color="auto"/>
              <w:left w:val="single" w:sz="4" w:space="0" w:color="auto"/>
              <w:bottom w:val="single" w:sz="4" w:space="0" w:color="auto"/>
              <w:right w:val="nil"/>
            </w:tcBorders>
          </w:tcPr>
          <w:p w:rsidR="00B30C71" w:rsidRPr="00B30C71" w:rsidRDefault="00B30C71" w:rsidP="00B30C71">
            <w:pPr>
              <w:spacing w:after="115" w:line="280" w:lineRule="exact"/>
              <w:rPr>
                <w:rFonts w:ascii="Times New Roman" w:eastAsia="Times New Roman" w:hAnsi="Times New Roman" w:cs="Times New Roman"/>
                <w:kern w:val="22"/>
                <w:sz w:val="20"/>
                <w:szCs w:val="20"/>
                <w:vertAlign w:val="superscript"/>
              </w:rPr>
            </w:pPr>
            <w:r w:rsidRPr="00B30C71">
              <w:rPr>
                <w:rFonts w:ascii="Times New Roman" w:eastAsia="Times New Roman" w:hAnsi="Times New Roman" w:cs="Times New Roman"/>
                <w:kern w:val="22"/>
                <w:sz w:val="20"/>
                <w:szCs w:val="20"/>
              </w:rPr>
              <w:t>$9,257,000,000</w:t>
            </w:r>
          </w:p>
        </w:tc>
      </w:tr>
      <w:tr w:rsidR="00B30C71" w:rsidRPr="00B30C71" w:rsidTr="006209D7">
        <w:trPr>
          <w:jc w:val="center"/>
        </w:trPr>
        <w:tc>
          <w:tcPr>
            <w:tcW w:w="0" w:type="auto"/>
            <w:tcBorders>
              <w:top w:val="single" w:sz="4" w:space="0" w:color="auto"/>
              <w:left w:val="nil"/>
              <w:bottom w:val="single" w:sz="4" w:space="0" w:color="auto"/>
              <w:right w:val="single" w:sz="4" w:space="0" w:color="auto"/>
            </w:tcBorders>
            <w:hideMark/>
          </w:tcPr>
          <w:p w:rsidR="00B30C71" w:rsidRPr="00B30C71" w:rsidRDefault="00B30C71" w:rsidP="00B30C71">
            <w:pPr>
              <w:spacing w:after="115" w:line="280" w:lineRule="exact"/>
              <w:rPr>
                <w:rFonts w:ascii="Times New Roman" w:eastAsia="Times New Roman" w:hAnsi="Times New Roman" w:cs="Times New Roman"/>
                <w:kern w:val="22"/>
                <w:sz w:val="20"/>
                <w:szCs w:val="20"/>
              </w:rPr>
            </w:pPr>
            <w:r w:rsidRPr="00B30C71">
              <w:rPr>
                <w:rFonts w:ascii="Times New Roman" w:eastAsia="Times New Roman" w:hAnsi="Times New Roman" w:cs="Times New Roman"/>
                <w:sz w:val="20"/>
                <w:szCs w:val="20"/>
              </w:rPr>
              <w:t>FY2012</w:t>
            </w:r>
          </w:p>
        </w:tc>
        <w:tc>
          <w:tcPr>
            <w:tcW w:w="5091" w:type="dxa"/>
            <w:tcBorders>
              <w:top w:val="single" w:sz="4" w:space="0" w:color="auto"/>
              <w:left w:val="single" w:sz="4" w:space="0" w:color="auto"/>
              <w:bottom w:val="single" w:sz="4" w:space="0" w:color="auto"/>
              <w:right w:val="nil"/>
            </w:tcBorders>
            <w:hideMark/>
          </w:tcPr>
          <w:p w:rsidR="00B30C71" w:rsidRPr="00B30C71" w:rsidRDefault="00B30C71" w:rsidP="00B30C71">
            <w:pPr>
              <w:spacing w:after="115" w:line="280" w:lineRule="exact"/>
              <w:rPr>
                <w:rFonts w:ascii="Times New Roman" w:eastAsia="Times New Roman" w:hAnsi="Times New Roman" w:cs="Times New Roman"/>
                <w:kern w:val="22"/>
                <w:sz w:val="20"/>
                <w:szCs w:val="20"/>
                <w:vertAlign w:val="superscript"/>
              </w:rPr>
            </w:pPr>
            <w:r w:rsidRPr="00B30C71">
              <w:rPr>
                <w:rFonts w:ascii="Times New Roman" w:eastAsia="Times New Roman" w:hAnsi="Times New Roman" w:cs="Times New Roman"/>
                <w:kern w:val="22"/>
                <w:sz w:val="20"/>
                <w:szCs w:val="20"/>
              </w:rPr>
              <w:t>$9,340,000,000</w:t>
            </w:r>
          </w:p>
        </w:tc>
      </w:tr>
      <w:tr w:rsidR="00B30C71" w:rsidRPr="00B30C71" w:rsidTr="006209D7">
        <w:trPr>
          <w:jc w:val="center"/>
        </w:trPr>
        <w:tc>
          <w:tcPr>
            <w:tcW w:w="0" w:type="auto"/>
            <w:tcBorders>
              <w:top w:val="single" w:sz="4" w:space="0" w:color="auto"/>
              <w:left w:val="nil"/>
              <w:bottom w:val="single" w:sz="4" w:space="0" w:color="auto"/>
              <w:right w:val="single" w:sz="4" w:space="0" w:color="auto"/>
            </w:tcBorders>
            <w:hideMark/>
          </w:tcPr>
          <w:p w:rsidR="00B30C71" w:rsidRPr="00B30C71" w:rsidRDefault="00B30C71" w:rsidP="00B30C71">
            <w:pPr>
              <w:spacing w:after="115" w:line="280" w:lineRule="exact"/>
              <w:rPr>
                <w:rFonts w:ascii="Times New Roman" w:eastAsia="Times New Roman" w:hAnsi="Times New Roman" w:cs="Times New Roman"/>
                <w:kern w:val="22"/>
                <w:sz w:val="20"/>
                <w:szCs w:val="20"/>
              </w:rPr>
            </w:pPr>
            <w:r w:rsidRPr="00B30C71">
              <w:rPr>
                <w:rFonts w:ascii="Times New Roman" w:eastAsia="Times New Roman" w:hAnsi="Times New Roman" w:cs="Times New Roman"/>
                <w:sz w:val="20"/>
                <w:szCs w:val="20"/>
              </w:rPr>
              <w:t>FY2013</w:t>
            </w:r>
          </w:p>
        </w:tc>
        <w:tc>
          <w:tcPr>
            <w:tcW w:w="5091" w:type="dxa"/>
            <w:tcBorders>
              <w:top w:val="single" w:sz="4" w:space="0" w:color="auto"/>
              <w:left w:val="single" w:sz="4" w:space="0" w:color="auto"/>
              <w:bottom w:val="single" w:sz="4" w:space="0" w:color="auto"/>
              <w:right w:val="nil"/>
            </w:tcBorders>
            <w:hideMark/>
          </w:tcPr>
          <w:p w:rsidR="00B30C71" w:rsidRPr="00B30C71" w:rsidRDefault="00B30C71" w:rsidP="00B30C71">
            <w:pPr>
              <w:spacing w:after="115" w:line="280" w:lineRule="exact"/>
              <w:rPr>
                <w:rFonts w:ascii="Times New Roman" w:eastAsia="Times New Roman" w:hAnsi="Times New Roman" w:cs="Times New Roman"/>
                <w:kern w:val="22"/>
                <w:sz w:val="20"/>
                <w:szCs w:val="20"/>
                <w:vertAlign w:val="superscript"/>
              </w:rPr>
            </w:pPr>
            <w:r w:rsidRPr="00B30C71">
              <w:rPr>
                <w:rFonts w:ascii="Times New Roman" w:eastAsia="Times New Roman" w:hAnsi="Times New Roman" w:cs="Times New Roman"/>
                <w:kern w:val="22"/>
                <w:sz w:val="20"/>
                <w:szCs w:val="20"/>
              </w:rPr>
              <w:t>$8,851,000,000*</w:t>
            </w:r>
          </w:p>
        </w:tc>
      </w:tr>
      <w:tr w:rsidR="00B30C71" w:rsidRPr="00B30C71" w:rsidTr="006209D7">
        <w:trPr>
          <w:jc w:val="center"/>
        </w:trPr>
        <w:tc>
          <w:tcPr>
            <w:tcW w:w="0" w:type="auto"/>
            <w:tcBorders>
              <w:top w:val="single" w:sz="4" w:space="0" w:color="auto"/>
              <w:left w:val="nil"/>
              <w:bottom w:val="single" w:sz="4" w:space="0" w:color="auto"/>
              <w:right w:val="single" w:sz="4" w:space="0" w:color="auto"/>
            </w:tcBorders>
            <w:hideMark/>
          </w:tcPr>
          <w:p w:rsidR="00B30C71" w:rsidRPr="00B30C71" w:rsidRDefault="00B30C71" w:rsidP="00B30C71">
            <w:pPr>
              <w:spacing w:after="115" w:line="280" w:lineRule="exact"/>
              <w:rPr>
                <w:rFonts w:ascii="Times New Roman" w:eastAsia="Times New Roman" w:hAnsi="Times New Roman" w:cs="Times New Roman"/>
                <w:kern w:val="22"/>
                <w:sz w:val="20"/>
                <w:szCs w:val="20"/>
              </w:rPr>
            </w:pPr>
            <w:r w:rsidRPr="00B30C71">
              <w:rPr>
                <w:rFonts w:ascii="Times New Roman" w:eastAsia="Times New Roman" w:hAnsi="Times New Roman" w:cs="Times New Roman"/>
                <w:sz w:val="20"/>
                <w:szCs w:val="20"/>
              </w:rPr>
              <w:t>FY2014</w:t>
            </w:r>
          </w:p>
        </w:tc>
        <w:tc>
          <w:tcPr>
            <w:tcW w:w="5091" w:type="dxa"/>
            <w:tcBorders>
              <w:top w:val="single" w:sz="4" w:space="0" w:color="auto"/>
              <w:left w:val="single" w:sz="4" w:space="0" w:color="auto"/>
              <w:bottom w:val="single" w:sz="4" w:space="0" w:color="auto"/>
              <w:right w:val="nil"/>
            </w:tcBorders>
            <w:hideMark/>
          </w:tcPr>
          <w:p w:rsidR="00B30C71" w:rsidRPr="00B30C71" w:rsidRDefault="00B30C71" w:rsidP="00B30C71">
            <w:pPr>
              <w:spacing w:after="115" w:line="280" w:lineRule="exact"/>
              <w:rPr>
                <w:rFonts w:ascii="Times New Roman" w:eastAsia="Times New Roman" w:hAnsi="Times New Roman" w:cs="Times New Roman"/>
                <w:kern w:val="22"/>
                <w:sz w:val="20"/>
                <w:szCs w:val="20"/>
                <w:vertAlign w:val="superscript"/>
              </w:rPr>
            </w:pPr>
            <w:r w:rsidRPr="00B30C71">
              <w:rPr>
                <w:rFonts w:ascii="Times New Roman" w:eastAsia="Times New Roman" w:hAnsi="Times New Roman" w:cs="Times New Roman"/>
                <w:kern w:val="22"/>
                <w:sz w:val="20"/>
                <w:szCs w:val="20"/>
              </w:rPr>
              <w:t>$9,917,000,000</w:t>
            </w:r>
          </w:p>
        </w:tc>
      </w:tr>
      <w:tr w:rsidR="00B30C71" w:rsidRPr="00B30C71" w:rsidTr="006209D7">
        <w:trPr>
          <w:trHeight w:val="152"/>
          <w:jc w:val="center"/>
        </w:trPr>
        <w:tc>
          <w:tcPr>
            <w:tcW w:w="0" w:type="auto"/>
            <w:tcBorders>
              <w:top w:val="single" w:sz="4" w:space="0" w:color="auto"/>
              <w:left w:val="nil"/>
              <w:bottom w:val="nil"/>
              <w:right w:val="single" w:sz="4" w:space="0" w:color="auto"/>
            </w:tcBorders>
          </w:tcPr>
          <w:p w:rsidR="00B30C71" w:rsidRPr="00B30C71" w:rsidRDefault="00B30C71" w:rsidP="00B30C71">
            <w:pPr>
              <w:spacing w:after="115" w:line="280" w:lineRule="exact"/>
              <w:rPr>
                <w:rFonts w:ascii="Times New Roman" w:eastAsia="Times New Roman" w:hAnsi="Times New Roman" w:cs="Times New Roman"/>
                <w:kern w:val="22"/>
                <w:sz w:val="20"/>
                <w:szCs w:val="20"/>
              </w:rPr>
            </w:pPr>
            <w:r w:rsidRPr="00B30C71">
              <w:rPr>
                <w:rFonts w:ascii="Times New Roman" w:eastAsia="Times New Roman" w:hAnsi="Times New Roman" w:cs="Times New Roman"/>
                <w:kern w:val="22"/>
                <w:sz w:val="20"/>
                <w:szCs w:val="20"/>
              </w:rPr>
              <w:t>FY 2015</w:t>
            </w:r>
          </w:p>
        </w:tc>
        <w:tc>
          <w:tcPr>
            <w:tcW w:w="5091" w:type="dxa"/>
            <w:tcBorders>
              <w:top w:val="single" w:sz="4" w:space="0" w:color="auto"/>
              <w:left w:val="single" w:sz="4" w:space="0" w:color="auto"/>
              <w:bottom w:val="nil"/>
              <w:right w:val="nil"/>
            </w:tcBorders>
          </w:tcPr>
          <w:p w:rsidR="00B30C71" w:rsidRPr="00B30C71" w:rsidRDefault="00B30C71" w:rsidP="00B30C71">
            <w:pPr>
              <w:spacing w:after="115" w:line="280" w:lineRule="exact"/>
              <w:rPr>
                <w:rFonts w:ascii="Times New Roman" w:eastAsia="Times New Roman" w:hAnsi="Times New Roman" w:cs="Times New Roman"/>
                <w:kern w:val="22"/>
                <w:sz w:val="20"/>
                <w:szCs w:val="20"/>
              </w:rPr>
            </w:pPr>
            <w:r w:rsidRPr="00B30C71">
              <w:rPr>
                <w:rFonts w:ascii="Times New Roman" w:eastAsia="Times New Roman" w:hAnsi="Times New Roman" w:cs="Times New Roman"/>
                <w:kern w:val="22"/>
                <w:sz w:val="20"/>
                <w:szCs w:val="20"/>
              </w:rPr>
              <w:t>$9,730,000,000</w:t>
            </w:r>
          </w:p>
        </w:tc>
      </w:tr>
    </w:tbl>
    <w:p w:rsidR="00B30C71" w:rsidRPr="00B30C71" w:rsidRDefault="00B30C71" w:rsidP="00B30C71">
      <w:pPr>
        <w:spacing w:after="0" w:line="240" w:lineRule="auto"/>
        <w:jc w:val="center"/>
        <w:rPr>
          <w:rFonts w:ascii="Times New Roman" w:eastAsia="Times New Roman" w:hAnsi="Times New Roman" w:cs="Times New Roman"/>
          <w:kern w:val="22"/>
          <w:sz w:val="20"/>
          <w:szCs w:val="20"/>
          <w:vertAlign w:val="superscript"/>
        </w:rPr>
      </w:pPr>
      <w:r w:rsidRPr="00B30C71">
        <w:rPr>
          <w:rFonts w:ascii="Times New Roman" w:eastAsia="Times New Roman" w:hAnsi="Times New Roman" w:cs="Times New Roman"/>
          <w:kern w:val="22"/>
          <w:sz w:val="16"/>
          <w:szCs w:val="16"/>
          <w:vertAlign w:val="superscript"/>
        </w:rPr>
        <w:t xml:space="preserve">* </w:t>
      </w:r>
      <w:r w:rsidRPr="00B30C71">
        <w:rPr>
          <w:rFonts w:ascii="Times New Roman" w:eastAsia="Times New Roman" w:hAnsi="Times New Roman" w:cs="Times New Roman"/>
          <w:kern w:val="22"/>
          <w:sz w:val="20"/>
          <w:szCs w:val="20"/>
          <w:vertAlign w:val="superscript"/>
        </w:rPr>
        <w:t>Includes sequestration reduction</w:t>
      </w:r>
    </w:p>
    <w:p w:rsidR="00B30C71" w:rsidRPr="00B30C71" w:rsidRDefault="00B30C71" w:rsidP="00B30C71">
      <w:pPr>
        <w:spacing w:after="0" w:line="240" w:lineRule="auto"/>
        <w:rPr>
          <w:rFonts w:ascii="Times New Roman" w:eastAsia="Times New Roman" w:hAnsi="Times New Roman" w:cs="Times New Roman"/>
          <w:b/>
          <w:i/>
          <w:sz w:val="24"/>
          <w:szCs w:val="24"/>
        </w:rPr>
      </w:pPr>
      <w:r w:rsidRPr="00B30C71">
        <w:rPr>
          <w:rFonts w:ascii="Times New Roman" w:eastAsia="Times New Roman" w:hAnsi="Times New Roman" w:cs="Times New Roman"/>
          <w:b/>
          <w:i/>
          <w:sz w:val="24"/>
          <w:szCs w:val="24"/>
        </w:rPr>
        <w:pict>
          <v:rect id="_x0000_i1031" style="width:0;height:1.5pt" o:hralign="center" o:hrstd="t" o:hr="t" fillcolor="#a0a0a0" stroked="f"/>
        </w:pict>
      </w:r>
    </w:p>
    <w:p w:rsidR="00B30C71" w:rsidRPr="00B30C71" w:rsidRDefault="00B30C71" w:rsidP="00B30C71">
      <w:pPr>
        <w:spacing w:after="0" w:line="240" w:lineRule="auto"/>
        <w:jc w:val="both"/>
        <w:rPr>
          <w:rFonts w:ascii="Times New Roman" w:eastAsia="Times New Roman" w:hAnsi="Times New Roman" w:cs="Times New Roman"/>
          <w:b/>
        </w:rPr>
      </w:pPr>
      <w:r w:rsidRPr="00B30C71">
        <w:rPr>
          <w:rFonts w:ascii="Times New Roman" w:eastAsia="Times New Roman" w:hAnsi="Times New Roman" w:cs="Times New Roman"/>
          <w:b/>
          <w:i/>
        </w:rPr>
        <w:t>FY2016 request</w:t>
      </w:r>
      <w:r w:rsidRPr="00B30C71">
        <w:rPr>
          <w:rFonts w:ascii="Times New Roman" w:eastAsia="Times New Roman" w:hAnsi="Times New Roman" w:cs="Times New Roman"/>
          <w:b/>
        </w:rPr>
        <w:t>: Recommendations based on two funding options for HUD to renew expiring Project-Based Rental Assistance contracts.</w:t>
      </w:r>
    </w:p>
    <w:p w:rsidR="00B30C71" w:rsidRPr="00B30C71" w:rsidRDefault="00B30C71" w:rsidP="00B30C71">
      <w:pPr>
        <w:spacing w:after="0" w:line="240" w:lineRule="auto"/>
        <w:jc w:val="both"/>
        <w:rPr>
          <w:rFonts w:ascii="Times New Roman" w:eastAsia="Times New Roman" w:hAnsi="Times New Roman" w:cs="Times New Roman"/>
          <w:b/>
        </w:rPr>
      </w:pPr>
    </w:p>
    <w:p w:rsidR="00B30C71" w:rsidRPr="00B30C71" w:rsidRDefault="00B30C71" w:rsidP="00B30C71">
      <w:pPr>
        <w:spacing w:after="0" w:line="240" w:lineRule="auto"/>
        <w:jc w:val="both"/>
        <w:rPr>
          <w:rFonts w:ascii="Times New Roman" w:eastAsia="Times New Roman" w:hAnsi="Times New Roman" w:cs="Times New Roman"/>
          <w:b/>
        </w:rPr>
      </w:pPr>
      <w:r w:rsidRPr="00B30C71">
        <w:rPr>
          <w:rFonts w:ascii="Times New Roman" w:eastAsia="Times New Roman" w:hAnsi="Times New Roman" w:cs="Times New Roman"/>
          <w:b/>
          <w:u w:val="single"/>
        </w:rPr>
        <w:t>Option 1*</w:t>
      </w:r>
      <w:r w:rsidRPr="00B30C71">
        <w:rPr>
          <w:rFonts w:ascii="Times New Roman" w:eastAsia="Times New Roman" w:hAnsi="Times New Roman" w:cs="Times New Roman"/>
          <w:b/>
        </w:rPr>
        <w:t xml:space="preserve">: $12,415,000,000 ($10.8 billion for contract renewals and amendments, $1.4 billion budget shortfall from FY 2015 and up to $215 million for performance-based contract administrators) to cover the full cost of renewing expiring Project-Based Rental Assistance contracts staggered throughout FY 2016 for a full 12 month term.  </w:t>
      </w:r>
    </w:p>
    <w:p w:rsidR="00B30C71" w:rsidRPr="00B30C71" w:rsidRDefault="00B30C71" w:rsidP="00B30C71">
      <w:pPr>
        <w:spacing w:after="0" w:line="240" w:lineRule="auto"/>
        <w:jc w:val="both"/>
        <w:rPr>
          <w:rFonts w:ascii="Times New Roman" w:eastAsia="Times New Roman" w:hAnsi="Times New Roman" w:cs="Times New Roman"/>
          <w:b/>
        </w:rPr>
      </w:pPr>
      <w:r w:rsidRPr="00B30C71">
        <w:rPr>
          <w:rFonts w:ascii="Times New Roman" w:eastAsia="Times New Roman" w:hAnsi="Times New Roman" w:cs="Times New Roman"/>
          <w:b/>
        </w:rPr>
        <w:t>*This is the preferred option.</w:t>
      </w:r>
    </w:p>
    <w:p w:rsidR="00B30C71" w:rsidRPr="00B30C71" w:rsidRDefault="00B30C71" w:rsidP="00B30C71">
      <w:pPr>
        <w:spacing w:after="0" w:line="240" w:lineRule="auto"/>
        <w:jc w:val="both"/>
        <w:rPr>
          <w:rFonts w:ascii="Times New Roman" w:eastAsia="Times New Roman" w:hAnsi="Times New Roman" w:cs="Times New Roman"/>
          <w:b/>
        </w:rPr>
      </w:pPr>
    </w:p>
    <w:p w:rsidR="00B30C71" w:rsidRPr="00B30C71" w:rsidRDefault="00B30C71" w:rsidP="00B30C71">
      <w:pPr>
        <w:spacing w:after="0" w:line="240" w:lineRule="auto"/>
        <w:jc w:val="both"/>
        <w:rPr>
          <w:rFonts w:ascii="Times New Roman" w:eastAsia="Times New Roman" w:hAnsi="Times New Roman" w:cs="Times New Roman"/>
          <w:sz w:val="20"/>
          <w:szCs w:val="20"/>
        </w:rPr>
      </w:pPr>
      <w:r w:rsidRPr="00B30C71">
        <w:rPr>
          <w:rFonts w:ascii="Times New Roman" w:eastAsia="Times New Roman" w:hAnsi="Times New Roman" w:cs="Times New Roman"/>
          <w:b/>
          <w:u w:val="single"/>
        </w:rPr>
        <w:t>Option 2</w:t>
      </w:r>
      <w:r w:rsidRPr="00B30C71">
        <w:rPr>
          <w:rFonts w:ascii="Times New Roman" w:eastAsia="Times New Roman" w:hAnsi="Times New Roman" w:cs="Times New Roman"/>
          <w:b/>
        </w:rPr>
        <w:t xml:space="preserve">: $11,015,000,000 to realign and shift to calendar year funding method ($10.8 billion for contract renewals and amendments and up to $215 million for performance-based contract administrators) to cover the full cost of renewing expiring Project-Based Rental Assistance contracts beginning on January 1, 2016 for a 12 month period. </w:t>
      </w:r>
    </w:p>
    <w:p w:rsidR="00B30C71" w:rsidRPr="00B30C71" w:rsidRDefault="00B30C71" w:rsidP="00B30C71">
      <w:pPr>
        <w:spacing w:after="0" w:line="240" w:lineRule="auto"/>
        <w:rPr>
          <w:rFonts w:ascii="Times New Roman" w:eastAsia="Times New Roman" w:hAnsi="Times New Roman" w:cs="Times New Roman"/>
          <w:b/>
          <w:sz w:val="20"/>
          <w:szCs w:val="20"/>
        </w:rPr>
      </w:pPr>
    </w:p>
    <w:p w:rsidR="00B30C71" w:rsidRPr="00B30C71" w:rsidRDefault="00B30C71" w:rsidP="00B30C71">
      <w:pPr>
        <w:spacing w:after="0" w:line="240" w:lineRule="auto"/>
        <w:jc w:val="both"/>
        <w:rPr>
          <w:rFonts w:ascii="Times New Roman" w:eastAsia="Times New Roman" w:hAnsi="Times New Roman" w:cs="Times New Roman"/>
          <w:sz w:val="20"/>
          <w:szCs w:val="20"/>
        </w:rPr>
      </w:pPr>
      <w:r w:rsidRPr="00B30C71">
        <w:rPr>
          <w:rFonts w:ascii="Times New Roman" w:eastAsia="Times New Roman" w:hAnsi="Times New Roman" w:cs="Times New Roman"/>
          <w:sz w:val="20"/>
          <w:szCs w:val="20"/>
        </w:rPr>
        <w:t>The National Affordable Housing Management Association (NAHMA) requests an appropriation of $12,415,000,000 for the Project-Based Rental Assistance (PBRA) program necessary to renew all expiring contracts for a full 12 month term as they expire throughout the year.  This method is the preferred policy.  If the Committee continues with the calendar year funding methodology, NAHMA requests an appropriation of $11,015,000,000 for FY 2016. These appropriation levels are necessary to renew the expiring project based contracts for a 12 month period (or 12 month annual increment for multi-year contracts that expire). Approximately 80% of all contracts are funded on an annual basis.  The remaining 20% are older multi-year contracts that were forward funded for the length of the contract term. Full funding for the annual contracts is necessary in order to maintain the existing portfolio and not displace tenants or put the portfolio at risk. Currently, the portfolio is leveraging approximately $16 billion in FHA insurance and more than $17 billion in private financing and equity.</w:t>
      </w:r>
    </w:p>
    <w:p w:rsidR="00B30C71" w:rsidRPr="00B30C71" w:rsidRDefault="00B30C71" w:rsidP="00B30C71">
      <w:pPr>
        <w:autoSpaceDE w:val="0"/>
        <w:autoSpaceDN w:val="0"/>
        <w:adjustRightInd w:val="0"/>
        <w:spacing w:after="0" w:line="240" w:lineRule="auto"/>
        <w:jc w:val="both"/>
        <w:rPr>
          <w:rFonts w:ascii="Times New Roman" w:hAnsi="Times New Roman" w:cs="Times New Roman"/>
          <w:color w:val="000000"/>
          <w:sz w:val="14"/>
        </w:rPr>
      </w:pPr>
    </w:p>
    <w:p w:rsidR="00B30C71" w:rsidRPr="00B30C71" w:rsidRDefault="00B30C71" w:rsidP="00B30C71">
      <w:pPr>
        <w:autoSpaceDE w:val="0"/>
        <w:autoSpaceDN w:val="0"/>
        <w:adjustRightInd w:val="0"/>
        <w:spacing w:after="0" w:line="240" w:lineRule="auto"/>
        <w:jc w:val="both"/>
        <w:rPr>
          <w:rFonts w:ascii="Times New Roman" w:hAnsi="Times New Roman" w:cs="Times New Roman"/>
          <w:color w:val="000000"/>
          <w:sz w:val="20"/>
        </w:rPr>
      </w:pPr>
      <w:r w:rsidRPr="00B30C71">
        <w:rPr>
          <w:rFonts w:ascii="Times New Roman" w:hAnsi="Times New Roman" w:cs="Times New Roman"/>
          <w:color w:val="000000"/>
          <w:sz w:val="20"/>
        </w:rPr>
        <w:t xml:space="preserve">In recent years, HUD has delayed payments, shortened the contract terms and reduced the Housing Assistance Payments (HAP) to owners in order to push a portion of the total annual costs into the next fiscal year. The impact of these actions have forced owners to draw from their replacement reserve accounts, scale back critical tenant services, delay tax and other payments for vital services and subsequently reduced the confidence of private investors. </w:t>
      </w:r>
      <w:r w:rsidRPr="00B30C71">
        <w:rPr>
          <w:rFonts w:ascii="Times New Roman" w:eastAsia="Times New Roman" w:hAnsi="Times New Roman" w:cs="Times New Roman"/>
          <w:sz w:val="20"/>
          <w:szCs w:val="24"/>
        </w:rPr>
        <w:t>According to HUD’s fiscal year 2016 budget, PBRA households are comprised of 80% elderly (47%) and persons with disabilities (33%).</w:t>
      </w:r>
    </w:p>
    <w:p w:rsidR="009E5A59" w:rsidRDefault="009E5A59">
      <w:bookmarkStart w:id="0" w:name="_GoBack"/>
      <w:bookmarkEnd w:id="0"/>
    </w:p>
    <w:sectPr w:rsidR="009E5A59" w:rsidSect="00B30C71">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C71"/>
    <w:rsid w:val="009E5A59"/>
    <w:rsid w:val="00B30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0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C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0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C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smcmillen</dc:creator>
  <cp:lastModifiedBy>smcmillen</cp:lastModifiedBy>
  <cp:revision>1</cp:revision>
  <dcterms:created xsi:type="dcterms:W3CDTF">2015-02-25T22:20:00Z</dcterms:created>
  <dcterms:modified xsi:type="dcterms:W3CDTF">2015-02-25T22:21:00Z</dcterms:modified>
</cp:coreProperties>
</file>