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7FD75" w14:textId="77777777" w:rsidR="00C13AA1" w:rsidRPr="00FD5493" w:rsidRDefault="00C13AA1" w:rsidP="00C13AA1">
      <w:pPr>
        <w:pStyle w:val="PlainText"/>
        <w:jc w:val="center"/>
        <w:rPr>
          <w:rFonts w:ascii="Arial" w:hAnsi="Arial" w:cs="Arial"/>
          <w:b/>
          <w:sz w:val="28"/>
          <w:szCs w:val="24"/>
        </w:rPr>
      </w:pPr>
      <w:bookmarkStart w:id="0" w:name="_GoBack"/>
      <w:bookmarkEnd w:id="0"/>
      <w:permStart w:id="1133867103" w:edGrp="everyone"/>
      <w:permEnd w:id="1133867103"/>
      <w:r w:rsidRPr="00FD5493">
        <w:rPr>
          <w:rFonts w:ascii="Arial" w:hAnsi="Arial" w:cs="Arial"/>
          <w:b/>
          <w:sz w:val="28"/>
          <w:szCs w:val="24"/>
        </w:rPr>
        <w:t>FHA Multifamily Housing Policy Handbook</w:t>
      </w:r>
    </w:p>
    <w:p w14:paraId="0BD7FD76" w14:textId="77777777" w:rsidR="004B7A45" w:rsidRPr="00FD5493" w:rsidRDefault="00C13AA1" w:rsidP="00B673C7">
      <w:pPr>
        <w:pStyle w:val="PlainText"/>
        <w:spacing w:after="280"/>
        <w:jc w:val="center"/>
        <w:rPr>
          <w:rFonts w:ascii="Arial" w:hAnsi="Arial" w:cs="Arial"/>
          <w:b/>
          <w:sz w:val="28"/>
          <w:szCs w:val="24"/>
        </w:rPr>
      </w:pPr>
      <w:r w:rsidRPr="00FD5493">
        <w:rPr>
          <w:rFonts w:ascii="Arial" w:hAnsi="Arial" w:cs="Arial"/>
          <w:b/>
          <w:sz w:val="28"/>
          <w:szCs w:val="24"/>
        </w:rPr>
        <w:t>TABLE OF CONTENTS</w:t>
      </w:r>
    </w:p>
    <w:p w14:paraId="0BD7FD77" w14:textId="77777777" w:rsidR="00D36687" w:rsidRPr="00C5635F" w:rsidRDefault="00D36687">
      <w:pPr>
        <w:pStyle w:val="TOC2"/>
        <w:rPr>
          <w:rFonts w:asciiTheme="minorHAnsi" w:eastAsiaTheme="minorEastAsia" w:hAnsiTheme="minorHAnsi"/>
          <w:b w:val="0"/>
          <w:bCs w:val="0"/>
          <w:noProof/>
          <w:sz w:val="22"/>
        </w:rPr>
      </w:pPr>
      <w:r w:rsidRPr="00C5635F">
        <w:rPr>
          <w:rFonts w:ascii="Times New Roman" w:hAnsi="Times New Roman"/>
          <w:b w:val="0"/>
          <w:szCs w:val="24"/>
        </w:rPr>
        <w:fldChar w:fldCharType="begin"/>
      </w:r>
      <w:r w:rsidRPr="00771627">
        <w:rPr>
          <w:rFonts w:ascii="Times New Roman" w:hAnsi="Times New Roman"/>
          <w:b w:val="0"/>
          <w:szCs w:val="24"/>
        </w:rPr>
        <w:instrText xml:space="preserve"> TOC \o "1-1" \h \z \t "Heading 2,2,Heading 3,3,Heading 4,4" </w:instrText>
      </w:r>
      <w:r w:rsidRPr="00C5635F">
        <w:rPr>
          <w:rFonts w:ascii="Times New Roman" w:hAnsi="Times New Roman"/>
          <w:b w:val="0"/>
          <w:szCs w:val="24"/>
        </w:rPr>
        <w:fldChar w:fldCharType="separate"/>
      </w:r>
      <w:hyperlink w:anchor="_Toc424659462" w:history="1">
        <w:r>
          <w:rPr>
            <w:rStyle w:val="Hyperlink"/>
            <w:b w:val="0"/>
            <w:noProof/>
          </w:rPr>
          <w:t>5</w:t>
        </w:r>
        <w:r w:rsidRPr="00771627">
          <w:rPr>
            <w:rStyle w:val="Hyperlink"/>
            <w:b w:val="0"/>
            <w:noProof/>
          </w:rPr>
          <w:t>.</w:t>
        </w:r>
        <w:r w:rsidRPr="00C5635F">
          <w:rPr>
            <w:rFonts w:asciiTheme="minorHAnsi" w:eastAsiaTheme="minorEastAsia" w:hAnsiTheme="minorHAnsi"/>
            <w:b w:val="0"/>
            <w:bCs w:val="0"/>
            <w:noProof/>
            <w:sz w:val="22"/>
          </w:rPr>
          <w:tab/>
        </w:r>
        <w:r w:rsidRPr="00771627">
          <w:rPr>
            <w:rStyle w:val="Hyperlink"/>
            <w:b w:val="0"/>
            <w:noProof/>
          </w:rPr>
          <w:t>Enforcement</w:t>
        </w:r>
        <w:r w:rsidRPr="00771627">
          <w:rPr>
            <w:b w:val="0"/>
            <w:noProof/>
            <w:webHidden/>
          </w:rPr>
          <w:tab/>
        </w:r>
        <w:r w:rsidRPr="00771627">
          <w:rPr>
            <w:b w:val="0"/>
            <w:noProof/>
            <w:webHidden/>
          </w:rPr>
          <w:fldChar w:fldCharType="begin"/>
        </w:r>
        <w:r w:rsidRPr="00771627">
          <w:rPr>
            <w:b w:val="0"/>
            <w:noProof/>
            <w:webHidden/>
          </w:rPr>
          <w:instrText xml:space="preserve"> PAGEREF _Toc424659462 \h </w:instrText>
        </w:r>
        <w:r w:rsidRPr="00771627">
          <w:rPr>
            <w:b w:val="0"/>
            <w:noProof/>
            <w:webHidden/>
          </w:rPr>
        </w:r>
        <w:r w:rsidRPr="00771627">
          <w:rPr>
            <w:b w:val="0"/>
            <w:noProof/>
            <w:webHidden/>
          </w:rPr>
          <w:fldChar w:fldCharType="separate"/>
        </w:r>
        <w:r>
          <w:rPr>
            <w:b w:val="0"/>
            <w:noProof/>
            <w:webHidden/>
          </w:rPr>
          <w:t>2</w:t>
        </w:r>
        <w:r w:rsidRPr="00771627">
          <w:rPr>
            <w:b w:val="0"/>
            <w:noProof/>
            <w:webHidden/>
          </w:rPr>
          <w:fldChar w:fldCharType="end"/>
        </w:r>
      </w:hyperlink>
    </w:p>
    <w:p w14:paraId="0BD7FD78" w14:textId="77777777" w:rsidR="00D36687" w:rsidRPr="00C5635F" w:rsidRDefault="00C34F39">
      <w:pPr>
        <w:pStyle w:val="TOC3"/>
        <w:rPr>
          <w:rFonts w:asciiTheme="minorHAnsi" w:eastAsiaTheme="minorEastAsia" w:hAnsiTheme="minorHAnsi"/>
          <w:noProof/>
          <w:sz w:val="22"/>
          <w:szCs w:val="22"/>
        </w:rPr>
      </w:pPr>
      <w:hyperlink w:anchor="_Toc424659463" w:history="1">
        <w:r w:rsidR="00D36687">
          <w:rPr>
            <w:rStyle w:val="Hyperlink"/>
            <w:rFonts w:eastAsia="MS Mincho"/>
            <w:noProof/>
          </w:rPr>
          <w:t>5</w:t>
        </w:r>
        <w:r w:rsidR="00D36687" w:rsidRPr="00C5635F">
          <w:rPr>
            <w:rStyle w:val="Hyperlink"/>
            <w:rFonts w:eastAsia="MS Mincho"/>
            <w:noProof/>
          </w:rPr>
          <w:t>.1 Departmental Enforcement Center (DEC)</w:t>
        </w:r>
        <w:r w:rsidR="00D36687" w:rsidRPr="00C5635F">
          <w:rPr>
            <w:noProof/>
            <w:webHidden/>
          </w:rPr>
          <w:tab/>
        </w:r>
        <w:r w:rsidR="00D36687" w:rsidRPr="00C5635F">
          <w:rPr>
            <w:noProof/>
            <w:webHidden/>
          </w:rPr>
          <w:fldChar w:fldCharType="begin"/>
        </w:r>
        <w:r w:rsidR="00D36687" w:rsidRPr="00C5635F">
          <w:rPr>
            <w:noProof/>
            <w:webHidden/>
          </w:rPr>
          <w:instrText xml:space="preserve"> PAGEREF _Toc424659463 \h </w:instrText>
        </w:r>
        <w:r w:rsidR="00D36687" w:rsidRPr="00C5635F">
          <w:rPr>
            <w:noProof/>
            <w:webHidden/>
          </w:rPr>
        </w:r>
        <w:r w:rsidR="00D36687" w:rsidRPr="00C5635F">
          <w:rPr>
            <w:noProof/>
            <w:webHidden/>
          </w:rPr>
          <w:fldChar w:fldCharType="separate"/>
        </w:r>
        <w:r w:rsidR="00D36687">
          <w:rPr>
            <w:noProof/>
            <w:webHidden/>
          </w:rPr>
          <w:t>2</w:t>
        </w:r>
        <w:r w:rsidR="00D36687" w:rsidRPr="00C5635F">
          <w:rPr>
            <w:noProof/>
            <w:webHidden/>
          </w:rPr>
          <w:fldChar w:fldCharType="end"/>
        </w:r>
      </w:hyperlink>
    </w:p>
    <w:p w14:paraId="0BD7FD79" w14:textId="77777777" w:rsidR="00D36687" w:rsidRPr="00C5635F" w:rsidRDefault="00C34F39" w:rsidP="00A9063C">
      <w:pPr>
        <w:pStyle w:val="TOC4"/>
        <w:rPr>
          <w:rStyle w:val="Hyperlink"/>
        </w:rPr>
      </w:pPr>
      <w:hyperlink w:anchor="_Toc424659464" w:history="1">
        <w:r w:rsidR="00D36687" w:rsidRPr="00C5635F">
          <w:rPr>
            <w:rStyle w:val="Hyperlink"/>
            <w:rFonts w:eastAsia="Times New Roman" w:cs="Arial"/>
          </w:rPr>
          <w:t>A.</w:t>
        </w:r>
        <w:r w:rsidR="00D36687" w:rsidRPr="00C5635F">
          <w:rPr>
            <w:rFonts w:asciiTheme="minorHAnsi" w:eastAsiaTheme="minorEastAsia" w:hAnsiTheme="minorHAnsi"/>
            <w:sz w:val="22"/>
            <w:szCs w:val="22"/>
          </w:rPr>
          <w:tab/>
        </w:r>
        <w:r w:rsidR="00D36687" w:rsidRPr="00C5635F">
          <w:rPr>
            <w:rStyle w:val="Hyperlink"/>
          </w:rPr>
          <w:t>Introduction</w:t>
        </w:r>
        <w:r w:rsidR="00D36687" w:rsidRPr="00C5635F">
          <w:rPr>
            <w:webHidden/>
          </w:rPr>
          <w:tab/>
        </w:r>
        <w:r w:rsidR="00D36687" w:rsidRPr="00C5635F">
          <w:rPr>
            <w:webHidden/>
          </w:rPr>
          <w:fldChar w:fldCharType="begin"/>
        </w:r>
        <w:r w:rsidR="00D36687" w:rsidRPr="00C5635F">
          <w:rPr>
            <w:webHidden/>
          </w:rPr>
          <w:instrText xml:space="preserve"> PAGEREF _Toc424659464 \h </w:instrText>
        </w:r>
        <w:r w:rsidR="00D36687" w:rsidRPr="00C5635F">
          <w:rPr>
            <w:webHidden/>
          </w:rPr>
        </w:r>
        <w:r w:rsidR="00D36687" w:rsidRPr="00C5635F">
          <w:rPr>
            <w:webHidden/>
          </w:rPr>
          <w:fldChar w:fldCharType="separate"/>
        </w:r>
        <w:r w:rsidR="00D36687">
          <w:rPr>
            <w:webHidden/>
          </w:rPr>
          <w:t>2</w:t>
        </w:r>
        <w:r w:rsidR="00D36687" w:rsidRPr="00C5635F">
          <w:rPr>
            <w:webHidden/>
          </w:rPr>
          <w:fldChar w:fldCharType="end"/>
        </w:r>
      </w:hyperlink>
    </w:p>
    <w:p w14:paraId="0BD7FD7A" w14:textId="77777777" w:rsidR="00D36687" w:rsidRPr="00C5635F" w:rsidRDefault="00D36687" w:rsidP="00771627">
      <w:pPr>
        <w:spacing w:before="0" w:after="0"/>
        <w:ind w:left="720" w:firstLine="360"/>
      </w:pPr>
      <w:r w:rsidRPr="00C5635F">
        <w:t xml:space="preserve">B. </w:t>
      </w:r>
      <w:r>
        <w:t xml:space="preserve">    </w:t>
      </w:r>
      <w:r w:rsidRPr="00C5635F">
        <w:t>Applicability</w:t>
      </w:r>
      <w:r>
        <w:t>…………………………………………………………………….</w:t>
      </w:r>
    </w:p>
    <w:p w14:paraId="0BD7FD7B" w14:textId="77777777" w:rsidR="00D36687" w:rsidRPr="00C5635F" w:rsidRDefault="00D36687" w:rsidP="00771627">
      <w:pPr>
        <w:spacing w:before="0" w:after="0"/>
        <w:ind w:left="720" w:firstLine="360"/>
      </w:pPr>
      <w:r w:rsidRPr="00C5635F">
        <w:t xml:space="preserve">C. </w:t>
      </w:r>
      <w:r>
        <w:t xml:space="preserve">   </w:t>
      </w:r>
      <w:r w:rsidRPr="00C5635F">
        <w:t>The Referral Process</w:t>
      </w:r>
    </w:p>
    <w:p w14:paraId="0BD7FD7C" w14:textId="77777777" w:rsidR="00D36687" w:rsidRPr="00771627" w:rsidRDefault="00D36687" w:rsidP="00771627">
      <w:pPr>
        <w:spacing w:before="0" w:after="0"/>
        <w:ind w:left="720" w:firstLine="360"/>
      </w:pPr>
      <w:r w:rsidRPr="00C5635F">
        <w:t xml:space="preserve">D. </w:t>
      </w:r>
      <w:r>
        <w:t xml:space="preserve">   </w:t>
      </w:r>
      <w:r w:rsidRPr="00C5635F">
        <w:t>DEC Analyses, Recommendations and Actions</w:t>
      </w:r>
    </w:p>
    <w:p w14:paraId="0BD7FD7D" w14:textId="77777777" w:rsidR="00D36687" w:rsidRPr="00C5635F" w:rsidRDefault="00D36687">
      <w:pPr>
        <w:pStyle w:val="TOC3"/>
        <w:rPr>
          <w:rFonts w:asciiTheme="minorHAnsi" w:eastAsiaTheme="minorEastAsia" w:hAnsiTheme="minorHAnsi"/>
          <w:noProof/>
          <w:sz w:val="22"/>
          <w:szCs w:val="22"/>
        </w:rPr>
      </w:pPr>
      <w:r w:rsidRPr="00FE251E">
        <w:rPr>
          <w:rStyle w:val="Hyperlink"/>
          <w:noProof/>
          <w:color w:val="auto"/>
          <w:u w:val="none"/>
        </w:rPr>
        <w:t xml:space="preserve">5.2 </w:t>
      </w:r>
      <w:hyperlink w:anchor="_Toc424659466" w:history="1">
        <w:r w:rsidRPr="00C5635F">
          <w:rPr>
            <w:rStyle w:val="Hyperlink"/>
            <w:noProof/>
          </w:rPr>
          <w:t>Mortgagor</w:t>
        </w:r>
        <w:r>
          <w:rPr>
            <w:rStyle w:val="Hyperlink"/>
            <w:noProof/>
          </w:rPr>
          <w:t>/Owner</w:t>
        </w:r>
        <w:r w:rsidRPr="00C5635F">
          <w:rPr>
            <w:rStyle w:val="Hyperlink"/>
            <w:noProof/>
          </w:rPr>
          <w:t xml:space="preserve"> Requirements</w:t>
        </w:r>
        <w:r w:rsidRPr="00C5635F">
          <w:rPr>
            <w:noProof/>
            <w:webHidden/>
          </w:rPr>
          <w:tab/>
        </w:r>
        <w:r w:rsidRPr="00C5635F">
          <w:rPr>
            <w:noProof/>
            <w:webHidden/>
          </w:rPr>
          <w:fldChar w:fldCharType="begin"/>
        </w:r>
        <w:r w:rsidRPr="00C5635F">
          <w:rPr>
            <w:noProof/>
            <w:webHidden/>
          </w:rPr>
          <w:instrText xml:space="preserve"> PAGEREF _Toc424659466 \h </w:instrText>
        </w:r>
        <w:r w:rsidRPr="00C5635F">
          <w:rPr>
            <w:noProof/>
            <w:webHidden/>
          </w:rPr>
        </w:r>
        <w:r w:rsidRPr="00C5635F">
          <w:rPr>
            <w:noProof/>
            <w:webHidden/>
          </w:rPr>
          <w:fldChar w:fldCharType="separate"/>
        </w:r>
        <w:r>
          <w:rPr>
            <w:noProof/>
            <w:webHidden/>
          </w:rPr>
          <w:t>9</w:t>
        </w:r>
        <w:r w:rsidRPr="00C5635F">
          <w:rPr>
            <w:noProof/>
            <w:webHidden/>
          </w:rPr>
          <w:fldChar w:fldCharType="end"/>
        </w:r>
      </w:hyperlink>
    </w:p>
    <w:p w14:paraId="0BD7FD7E" w14:textId="77777777" w:rsidR="00D36687" w:rsidRPr="00C5635F" w:rsidRDefault="00C34F39">
      <w:pPr>
        <w:pStyle w:val="TOC4"/>
        <w:rPr>
          <w:rFonts w:asciiTheme="minorHAnsi" w:eastAsiaTheme="minorEastAsia" w:hAnsiTheme="minorHAnsi"/>
          <w:sz w:val="22"/>
          <w:szCs w:val="22"/>
        </w:rPr>
      </w:pPr>
      <w:hyperlink w:anchor="_Toc424659467" w:history="1">
        <w:r w:rsidR="00D36687" w:rsidRPr="00C5635F">
          <w:rPr>
            <w:rStyle w:val="Hyperlink"/>
          </w:rPr>
          <w:t>A.</w:t>
        </w:r>
        <w:r w:rsidR="00D36687" w:rsidRPr="00C5635F">
          <w:rPr>
            <w:rFonts w:asciiTheme="minorHAnsi" w:eastAsiaTheme="minorEastAsia" w:hAnsiTheme="minorHAnsi"/>
            <w:sz w:val="22"/>
            <w:szCs w:val="22"/>
          </w:rPr>
          <w:tab/>
        </w:r>
        <w:r w:rsidR="00D36687" w:rsidRPr="00C5635F">
          <w:rPr>
            <w:rStyle w:val="Hyperlink"/>
          </w:rPr>
          <w:t>Introduction</w:t>
        </w:r>
        <w:r w:rsidR="00D36687" w:rsidRPr="00C5635F">
          <w:rPr>
            <w:webHidden/>
          </w:rPr>
          <w:tab/>
        </w:r>
        <w:r w:rsidR="00D36687" w:rsidRPr="00C5635F">
          <w:rPr>
            <w:webHidden/>
          </w:rPr>
          <w:fldChar w:fldCharType="begin"/>
        </w:r>
        <w:r w:rsidR="00D36687" w:rsidRPr="00C5635F">
          <w:rPr>
            <w:webHidden/>
          </w:rPr>
          <w:instrText xml:space="preserve"> PAGEREF _Toc424659467 \h </w:instrText>
        </w:r>
        <w:r w:rsidR="00D36687" w:rsidRPr="00C5635F">
          <w:rPr>
            <w:webHidden/>
          </w:rPr>
        </w:r>
        <w:r w:rsidR="00D36687" w:rsidRPr="00C5635F">
          <w:rPr>
            <w:webHidden/>
          </w:rPr>
          <w:fldChar w:fldCharType="separate"/>
        </w:r>
        <w:r w:rsidR="00D36687">
          <w:rPr>
            <w:webHidden/>
          </w:rPr>
          <w:t>9</w:t>
        </w:r>
        <w:r w:rsidR="00D36687" w:rsidRPr="00C5635F">
          <w:rPr>
            <w:webHidden/>
          </w:rPr>
          <w:fldChar w:fldCharType="end"/>
        </w:r>
      </w:hyperlink>
    </w:p>
    <w:p w14:paraId="0BD7FD7F" w14:textId="77777777" w:rsidR="00D36687" w:rsidRPr="00C5635F" w:rsidRDefault="00C34F39">
      <w:pPr>
        <w:pStyle w:val="TOC4"/>
        <w:rPr>
          <w:rFonts w:asciiTheme="minorHAnsi" w:eastAsiaTheme="minorEastAsia" w:hAnsiTheme="minorHAnsi"/>
          <w:sz w:val="22"/>
          <w:szCs w:val="22"/>
        </w:rPr>
      </w:pPr>
      <w:hyperlink w:anchor="_Toc424659468" w:history="1">
        <w:r w:rsidR="00D36687" w:rsidRPr="00C5635F">
          <w:rPr>
            <w:rStyle w:val="Hyperlink"/>
          </w:rPr>
          <w:t>B.</w:t>
        </w:r>
        <w:r w:rsidR="00D36687" w:rsidRPr="00C5635F">
          <w:rPr>
            <w:rFonts w:asciiTheme="minorHAnsi" w:eastAsiaTheme="minorEastAsia" w:hAnsiTheme="minorHAnsi"/>
            <w:sz w:val="22"/>
            <w:szCs w:val="22"/>
          </w:rPr>
          <w:tab/>
        </w:r>
        <w:r w:rsidR="00D36687" w:rsidRPr="00C5635F">
          <w:rPr>
            <w:rStyle w:val="Hyperlink"/>
          </w:rPr>
          <w:t>Compliance with Statutes, Regulations, Business Agreements and Program Requirements</w:t>
        </w:r>
        <w:r w:rsidR="00D36687" w:rsidRPr="00C5635F">
          <w:rPr>
            <w:webHidden/>
          </w:rPr>
          <w:tab/>
        </w:r>
        <w:r w:rsidR="00D36687" w:rsidRPr="00C5635F">
          <w:rPr>
            <w:webHidden/>
          </w:rPr>
          <w:fldChar w:fldCharType="begin"/>
        </w:r>
        <w:r w:rsidR="00D36687" w:rsidRPr="00C5635F">
          <w:rPr>
            <w:webHidden/>
          </w:rPr>
          <w:instrText xml:space="preserve"> PAGEREF _Toc424659468 \h </w:instrText>
        </w:r>
        <w:r w:rsidR="00D36687" w:rsidRPr="00C5635F">
          <w:rPr>
            <w:webHidden/>
          </w:rPr>
        </w:r>
        <w:r w:rsidR="00D36687" w:rsidRPr="00C5635F">
          <w:rPr>
            <w:webHidden/>
          </w:rPr>
          <w:fldChar w:fldCharType="separate"/>
        </w:r>
        <w:r w:rsidR="00D36687">
          <w:rPr>
            <w:webHidden/>
          </w:rPr>
          <w:t>10</w:t>
        </w:r>
        <w:r w:rsidR="00D36687" w:rsidRPr="00C5635F">
          <w:rPr>
            <w:webHidden/>
          </w:rPr>
          <w:fldChar w:fldCharType="end"/>
        </w:r>
      </w:hyperlink>
    </w:p>
    <w:p w14:paraId="0BD7FD80" w14:textId="77777777" w:rsidR="00D36687" w:rsidRPr="00C5635F" w:rsidRDefault="00C34F39">
      <w:pPr>
        <w:pStyle w:val="TOC3"/>
        <w:rPr>
          <w:rFonts w:asciiTheme="minorHAnsi" w:eastAsiaTheme="minorEastAsia" w:hAnsiTheme="minorHAnsi"/>
          <w:noProof/>
          <w:sz w:val="22"/>
          <w:szCs w:val="22"/>
        </w:rPr>
      </w:pPr>
      <w:hyperlink w:anchor="_Toc424659469" w:history="1">
        <w:r w:rsidR="00D36687">
          <w:rPr>
            <w:rStyle w:val="Hyperlink"/>
            <w:rFonts w:eastAsia="MS Mincho"/>
            <w:noProof/>
          </w:rPr>
          <w:t>5.</w:t>
        </w:r>
        <w:r w:rsidR="00D36687" w:rsidRPr="00C5635F">
          <w:rPr>
            <w:rStyle w:val="Hyperlink"/>
            <w:rFonts w:eastAsia="MS Mincho"/>
            <w:noProof/>
          </w:rPr>
          <w:t>3</w:t>
        </w:r>
        <w:r w:rsidR="00D36687" w:rsidRPr="00C5635F">
          <w:rPr>
            <w:rFonts w:asciiTheme="minorHAnsi" w:eastAsiaTheme="minorEastAsia" w:hAnsiTheme="minorHAnsi"/>
            <w:noProof/>
            <w:sz w:val="22"/>
            <w:szCs w:val="22"/>
          </w:rPr>
          <w:tab/>
        </w:r>
        <w:r w:rsidR="00D36687" w:rsidRPr="00C5635F">
          <w:rPr>
            <w:rStyle w:val="Hyperlink"/>
            <w:rFonts w:eastAsia="MS Mincho"/>
            <w:noProof/>
          </w:rPr>
          <w:t>Enforcement Tools</w:t>
        </w:r>
        <w:r w:rsidR="00D36687" w:rsidRPr="00C5635F">
          <w:rPr>
            <w:noProof/>
            <w:webHidden/>
          </w:rPr>
          <w:tab/>
        </w:r>
        <w:r w:rsidR="00D36687" w:rsidRPr="00C5635F">
          <w:rPr>
            <w:noProof/>
            <w:webHidden/>
          </w:rPr>
          <w:fldChar w:fldCharType="begin"/>
        </w:r>
        <w:r w:rsidR="00D36687" w:rsidRPr="00C5635F">
          <w:rPr>
            <w:noProof/>
            <w:webHidden/>
          </w:rPr>
          <w:instrText xml:space="preserve"> PAGEREF _Toc424659469 \h </w:instrText>
        </w:r>
        <w:r w:rsidR="00D36687" w:rsidRPr="00C5635F">
          <w:rPr>
            <w:noProof/>
            <w:webHidden/>
          </w:rPr>
        </w:r>
        <w:r w:rsidR="00D36687" w:rsidRPr="00C5635F">
          <w:rPr>
            <w:noProof/>
            <w:webHidden/>
          </w:rPr>
          <w:fldChar w:fldCharType="separate"/>
        </w:r>
        <w:r w:rsidR="00D36687">
          <w:rPr>
            <w:noProof/>
            <w:webHidden/>
          </w:rPr>
          <w:t>15</w:t>
        </w:r>
        <w:r w:rsidR="00D36687" w:rsidRPr="00C5635F">
          <w:rPr>
            <w:noProof/>
            <w:webHidden/>
          </w:rPr>
          <w:fldChar w:fldCharType="end"/>
        </w:r>
      </w:hyperlink>
    </w:p>
    <w:p w14:paraId="0BD7FD81" w14:textId="77777777" w:rsidR="00D36687" w:rsidRPr="00C5635F" w:rsidRDefault="00C34F39">
      <w:pPr>
        <w:pStyle w:val="TOC4"/>
        <w:rPr>
          <w:rFonts w:asciiTheme="minorHAnsi" w:eastAsiaTheme="minorEastAsia" w:hAnsiTheme="minorHAnsi"/>
          <w:sz w:val="22"/>
          <w:szCs w:val="22"/>
        </w:rPr>
      </w:pPr>
      <w:hyperlink w:anchor="_Toc424659470" w:history="1">
        <w:r w:rsidR="00D36687" w:rsidRPr="00C5635F">
          <w:rPr>
            <w:rStyle w:val="Hyperlink"/>
          </w:rPr>
          <w:t>A.</w:t>
        </w:r>
        <w:r w:rsidR="00D36687" w:rsidRPr="00C5635F">
          <w:rPr>
            <w:rFonts w:asciiTheme="minorHAnsi" w:eastAsiaTheme="minorEastAsia" w:hAnsiTheme="minorHAnsi"/>
            <w:sz w:val="22"/>
            <w:szCs w:val="22"/>
          </w:rPr>
          <w:tab/>
        </w:r>
        <w:r w:rsidR="00D36687" w:rsidRPr="00C5635F">
          <w:rPr>
            <w:rStyle w:val="Hyperlink"/>
          </w:rPr>
          <w:t>Introduction</w:t>
        </w:r>
        <w:r w:rsidR="00D36687" w:rsidRPr="00C5635F">
          <w:rPr>
            <w:webHidden/>
          </w:rPr>
          <w:tab/>
        </w:r>
        <w:r w:rsidR="00D36687" w:rsidRPr="00C5635F">
          <w:rPr>
            <w:webHidden/>
          </w:rPr>
          <w:fldChar w:fldCharType="begin"/>
        </w:r>
        <w:r w:rsidR="00D36687" w:rsidRPr="00C5635F">
          <w:rPr>
            <w:webHidden/>
          </w:rPr>
          <w:instrText xml:space="preserve"> PAGEREF _Toc424659470 \h </w:instrText>
        </w:r>
        <w:r w:rsidR="00D36687" w:rsidRPr="00C5635F">
          <w:rPr>
            <w:webHidden/>
          </w:rPr>
        </w:r>
        <w:r w:rsidR="00D36687" w:rsidRPr="00C5635F">
          <w:rPr>
            <w:webHidden/>
          </w:rPr>
          <w:fldChar w:fldCharType="separate"/>
        </w:r>
        <w:r w:rsidR="00D36687">
          <w:rPr>
            <w:webHidden/>
          </w:rPr>
          <w:t>15</w:t>
        </w:r>
        <w:r w:rsidR="00D36687" w:rsidRPr="00C5635F">
          <w:rPr>
            <w:webHidden/>
          </w:rPr>
          <w:fldChar w:fldCharType="end"/>
        </w:r>
      </w:hyperlink>
    </w:p>
    <w:p w14:paraId="0BD7FD82" w14:textId="77777777" w:rsidR="00D36687" w:rsidRPr="00C5635F" w:rsidRDefault="00C34F39">
      <w:pPr>
        <w:pStyle w:val="TOC4"/>
        <w:rPr>
          <w:rFonts w:asciiTheme="minorHAnsi" w:eastAsiaTheme="minorEastAsia" w:hAnsiTheme="minorHAnsi"/>
          <w:sz w:val="22"/>
          <w:szCs w:val="22"/>
        </w:rPr>
      </w:pPr>
      <w:hyperlink w:anchor="_Toc424659471" w:history="1">
        <w:r w:rsidR="00D36687" w:rsidRPr="00C5635F">
          <w:rPr>
            <w:rStyle w:val="Hyperlink"/>
            <w:rFonts w:eastAsia="MS Mincho"/>
          </w:rPr>
          <w:t>B.</w:t>
        </w:r>
        <w:r w:rsidR="00D36687" w:rsidRPr="00C5635F">
          <w:rPr>
            <w:rFonts w:asciiTheme="minorHAnsi" w:eastAsiaTheme="minorEastAsia" w:hAnsiTheme="minorHAnsi"/>
            <w:sz w:val="22"/>
            <w:szCs w:val="22"/>
          </w:rPr>
          <w:tab/>
        </w:r>
        <w:r w:rsidR="00D36687" w:rsidRPr="00C5635F">
          <w:rPr>
            <w:rStyle w:val="Hyperlink"/>
            <w:rFonts w:eastAsia="MS Mincho"/>
          </w:rPr>
          <w:t>Account Executive Servicing Tools</w:t>
        </w:r>
        <w:r w:rsidR="00D36687" w:rsidRPr="00C5635F">
          <w:rPr>
            <w:webHidden/>
          </w:rPr>
          <w:tab/>
        </w:r>
        <w:r w:rsidR="00D36687" w:rsidRPr="00C5635F">
          <w:rPr>
            <w:webHidden/>
          </w:rPr>
          <w:fldChar w:fldCharType="begin"/>
        </w:r>
        <w:r w:rsidR="00D36687" w:rsidRPr="00C5635F">
          <w:rPr>
            <w:webHidden/>
          </w:rPr>
          <w:instrText xml:space="preserve"> PAGEREF _Toc424659471 \h </w:instrText>
        </w:r>
        <w:r w:rsidR="00D36687" w:rsidRPr="00C5635F">
          <w:rPr>
            <w:webHidden/>
          </w:rPr>
        </w:r>
        <w:r w:rsidR="00D36687" w:rsidRPr="00C5635F">
          <w:rPr>
            <w:webHidden/>
          </w:rPr>
          <w:fldChar w:fldCharType="separate"/>
        </w:r>
        <w:r w:rsidR="00D36687">
          <w:rPr>
            <w:webHidden/>
          </w:rPr>
          <w:t>16</w:t>
        </w:r>
        <w:r w:rsidR="00D36687" w:rsidRPr="00C5635F">
          <w:rPr>
            <w:webHidden/>
          </w:rPr>
          <w:fldChar w:fldCharType="end"/>
        </w:r>
      </w:hyperlink>
    </w:p>
    <w:p w14:paraId="0BD7FD83" w14:textId="77777777" w:rsidR="00D36687" w:rsidRPr="00C5635F" w:rsidRDefault="00C34F39">
      <w:pPr>
        <w:pStyle w:val="TOC4"/>
        <w:rPr>
          <w:rFonts w:asciiTheme="minorHAnsi" w:eastAsiaTheme="minorEastAsia" w:hAnsiTheme="minorHAnsi"/>
          <w:sz w:val="22"/>
          <w:szCs w:val="22"/>
        </w:rPr>
      </w:pPr>
      <w:hyperlink w:anchor="_Toc424659472" w:history="1">
        <w:r w:rsidR="00D36687" w:rsidRPr="00C5635F">
          <w:rPr>
            <w:rStyle w:val="Hyperlink"/>
            <w:rFonts w:eastAsia="MS Mincho"/>
          </w:rPr>
          <w:t>C.</w:t>
        </w:r>
        <w:r w:rsidR="00D36687" w:rsidRPr="00C5635F">
          <w:rPr>
            <w:rFonts w:asciiTheme="minorHAnsi" w:eastAsiaTheme="minorEastAsia" w:hAnsiTheme="minorHAnsi"/>
            <w:sz w:val="22"/>
            <w:szCs w:val="22"/>
          </w:rPr>
          <w:tab/>
        </w:r>
        <w:r w:rsidR="00D36687" w:rsidRPr="00C5635F">
          <w:rPr>
            <w:rStyle w:val="Hyperlink"/>
            <w:rFonts w:eastAsia="MS Mincho"/>
          </w:rPr>
          <w:t>DEC Enforcement Tools</w:t>
        </w:r>
        <w:r w:rsidR="00D36687" w:rsidRPr="00C5635F">
          <w:rPr>
            <w:webHidden/>
          </w:rPr>
          <w:tab/>
        </w:r>
        <w:r w:rsidR="00D36687" w:rsidRPr="00C5635F">
          <w:rPr>
            <w:webHidden/>
          </w:rPr>
          <w:fldChar w:fldCharType="begin"/>
        </w:r>
        <w:r w:rsidR="00D36687" w:rsidRPr="00C5635F">
          <w:rPr>
            <w:webHidden/>
          </w:rPr>
          <w:instrText xml:space="preserve"> PAGEREF _Toc424659472 \h </w:instrText>
        </w:r>
        <w:r w:rsidR="00D36687" w:rsidRPr="00C5635F">
          <w:rPr>
            <w:webHidden/>
          </w:rPr>
        </w:r>
        <w:r w:rsidR="00D36687" w:rsidRPr="00C5635F">
          <w:rPr>
            <w:webHidden/>
          </w:rPr>
          <w:fldChar w:fldCharType="separate"/>
        </w:r>
        <w:r w:rsidR="00D36687">
          <w:rPr>
            <w:webHidden/>
          </w:rPr>
          <w:t>17</w:t>
        </w:r>
        <w:r w:rsidR="00D36687" w:rsidRPr="00C5635F">
          <w:rPr>
            <w:webHidden/>
          </w:rPr>
          <w:fldChar w:fldCharType="end"/>
        </w:r>
      </w:hyperlink>
    </w:p>
    <w:p w14:paraId="0BD7FD84" w14:textId="77777777" w:rsidR="00D36687" w:rsidRDefault="00C34F39">
      <w:pPr>
        <w:pStyle w:val="TOC4"/>
        <w:rPr>
          <w:rStyle w:val="Hyperlink"/>
        </w:rPr>
      </w:pPr>
      <w:hyperlink w:anchor="_Toc424659473" w:history="1">
        <w:r w:rsidR="00D36687" w:rsidRPr="00C5635F">
          <w:rPr>
            <w:rStyle w:val="Hyperlink"/>
            <w:rFonts w:eastAsia="MS Mincho"/>
          </w:rPr>
          <w:t xml:space="preserve">D. </w:t>
        </w:r>
        <w:r w:rsidR="00D36687">
          <w:rPr>
            <w:rStyle w:val="Hyperlink"/>
            <w:rFonts w:eastAsia="MS Mincho"/>
          </w:rPr>
          <w:t xml:space="preserve">   </w:t>
        </w:r>
        <w:r w:rsidR="00D36687" w:rsidRPr="00C5635F">
          <w:rPr>
            <w:rStyle w:val="Hyperlink"/>
            <w:rFonts w:eastAsia="MS Mincho"/>
          </w:rPr>
          <w:t>Exclusionary Sanctions</w:t>
        </w:r>
        <w:r w:rsidR="00D36687" w:rsidRPr="00C5635F">
          <w:rPr>
            <w:webHidden/>
          </w:rPr>
          <w:tab/>
        </w:r>
        <w:r w:rsidR="00D36687" w:rsidRPr="00C5635F">
          <w:rPr>
            <w:webHidden/>
          </w:rPr>
          <w:fldChar w:fldCharType="begin"/>
        </w:r>
        <w:r w:rsidR="00D36687" w:rsidRPr="00C5635F">
          <w:rPr>
            <w:webHidden/>
          </w:rPr>
          <w:instrText xml:space="preserve"> PAGEREF _Toc424659473 \h </w:instrText>
        </w:r>
        <w:r w:rsidR="00D36687" w:rsidRPr="00C5635F">
          <w:rPr>
            <w:webHidden/>
          </w:rPr>
        </w:r>
        <w:r w:rsidR="00D36687" w:rsidRPr="00C5635F">
          <w:rPr>
            <w:webHidden/>
          </w:rPr>
          <w:fldChar w:fldCharType="separate"/>
        </w:r>
        <w:r w:rsidR="00D36687">
          <w:rPr>
            <w:webHidden/>
          </w:rPr>
          <w:t>25</w:t>
        </w:r>
        <w:r w:rsidR="00D36687" w:rsidRPr="00C5635F">
          <w:rPr>
            <w:webHidden/>
          </w:rPr>
          <w:fldChar w:fldCharType="end"/>
        </w:r>
      </w:hyperlink>
    </w:p>
    <w:p w14:paraId="0BD7FD85" w14:textId="77777777" w:rsidR="00D36687" w:rsidRPr="00C5635F" w:rsidRDefault="00C34F39">
      <w:pPr>
        <w:pStyle w:val="TOC1"/>
        <w:rPr>
          <w:rFonts w:asciiTheme="minorHAnsi" w:eastAsiaTheme="minorEastAsia" w:hAnsiTheme="minorHAnsi"/>
          <w:bCs w:val="0"/>
          <w:iCs w:val="0"/>
          <w:noProof/>
          <w:sz w:val="22"/>
          <w:szCs w:val="22"/>
        </w:rPr>
      </w:pPr>
      <w:hyperlink w:anchor="_Toc424659474" w:history="1">
        <w:r w:rsidR="00D36687" w:rsidRPr="00C5635F">
          <w:rPr>
            <w:rStyle w:val="Hyperlink"/>
            <w:noProof/>
          </w:rPr>
          <w:t xml:space="preserve">Exhibit </w:t>
        </w:r>
        <w:r w:rsidR="00D36687">
          <w:rPr>
            <w:rStyle w:val="Hyperlink"/>
            <w:noProof/>
          </w:rPr>
          <w:t>5</w:t>
        </w:r>
        <w:r w:rsidR="00D36687" w:rsidRPr="00C5635F">
          <w:rPr>
            <w:rStyle w:val="Hyperlink"/>
            <w:noProof/>
          </w:rPr>
          <w:t>-1</w:t>
        </w:r>
        <w:r w:rsidR="00D36687" w:rsidRPr="00C5635F">
          <w:rPr>
            <w:rFonts w:asciiTheme="minorHAnsi" w:eastAsiaTheme="minorEastAsia" w:hAnsiTheme="minorHAnsi"/>
            <w:bCs w:val="0"/>
            <w:iCs w:val="0"/>
            <w:noProof/>
            <w:sz w:val="22"/>
            <w:szCs w:val="22"/>
          </w:rPr>
          <w:tab/>
        </w:r>
        <w:r w:rsidR="00D36687" w:rsidRPr="00C5635F">
          <w:rPr>
            <w:rStyle w:val="Hyperlink"/>
            <w:noProof/>
          </w:rPr>
          <w:t>Elective Referral Process for Suspensions, Debarments or Limited Denials of Participation (LDP)</w:t>
        </w:r>
        <w:r w:rsidR="00D36687" w:rsidRPr="00C5635F">
          <w:rPr>
            <w:noProof/>
            <w:webHidden/>
          </w:rPr>
          <w:tab/>
        </w:r>
        <w:r w:rsidR="00D36687" w:rsidRPr="00C5635F">
          <w:rPr>
            <w:noProof/>
            <w:webHidden/>
          </w:rPr>
          <w:fldChar w:fldCharType="begin"/>
        </w:r>
        <w:r w:rsidR="00D36687" w:rsidRPr="00C5635F">
          <w:rPr>
            <w:noProof/>
            <w:webHidden/>
          </w:rPr>
          <w:instrText xml:space="preserve"> PAGEREF _Toc424659474 \h </w:instrText>
        </w:r>
        <w:r w:rsidR="00D36687" w:rsidRPr="00C5635F">
          <w:rPr>
            <w:noProof/>
            <w:webHidden/>
          </w:rPr>
        </w:r>
        <w:r w:rsidR="00D36687" w:rsidRPr="00C5635F">
          <w:rPr>
            <w:noProof/>
            <w:webHidden/>
          </w:rPr>
          <w:fldChar w:fldCharType="separate"/>
        </w:r>
        <w:r w:rsidR="00D36687">
          <w:rPr>
            <w:noProof/>
            <w:webHidden/>
          </w:rPr>
          <w:t>33</w:t>
        </w:r>
        <w:r w:rsidR="00D36687" w:rsidRPr="00C5635F">
          <w:rPr>
            <w:noProof/>
            <w:webHidden/>
          </w:rPr>
          <w:fldChar w:fldCharType="end"/>
        </w:r>
      </w:hyperlink>
    </w:p>
    <w:p w14:paraId="0BD7FD86" w14:textId="77777777" w:rsidR="00D36687" w:rsidRPr="00C5635F" w:rsidRDefault="00C34F39">
      <w:pPr>
        <w:pStyle w:val="TOC1"/>
        <w:rPr>
          <w:rFonts w:asciiTheme="minorHAnsi" w:eastAsiaTheme="minorEastAsia" w:hAnsiTheme="minorHAnsi"/>
          <w:bCs w:val="0"/>
          <w:iCs w:val="0"/>
          <w:noProof/>
          <w:sz w:val="22"/>
          <w:szCs w:val="22"/>
        </w:rPr>
      </w:pPr>
      <w:hyperlink w:anchor="_Toc424659475" w:history="1">
        <w:r w:rsidR="00D36687" w:rsidRPr="00C5635F">
          <w:rPr>
            <w:rStyle w:val="Hyperlink"/>
            <w:noProof/>
          </w:rPr>
          <w:t xml:space="preserve">Exhibit </w:t>
        </w:r>
        <w:r w:rsidR="00D36687">
          <w:rPr>
            <w:rStyle w:val="Hyperlink"/>
            <w:noProof/>
          </w:rPr>
          <w:t>5</w:t>
        </w:r>
        <w:r w:rsidR="00D36687" w:rsidRPr="00C5635F">
          <w:rPr>
            <w:rStyle w:val="Hyperlink"/>
            <w:noProof/>
          </w:rPr>
          <w:t>-2</w:t>
        </w:r>
        <w:r w:rsidR="00D36687" w:rsidRPr="00C5635F">
          <w:rPr>
            <w:rFonts w:asciiTheme="minorHAnsi" w:eastAsiaTheme="minorEastAsia" w:hAnsiTheme="minorHAnsi"/>
            <w:bCs w:val="0"/>
            <w:iCs w:val="0"/>
            <w:noProof/>
            <w:sz w:val="22"/>
            <w:szCs w:val="22"/>
          </w:rPr>
          <w:tab/>
        </w:r>
        <w:r w:rsidR="00D36687" w:rsidRPr="00C5635F">
          <w:rPr>
            <w:rStyle w:val="Hyperlink"/>
            <w:noProof/>
          </w:rPr>
          <w:t>Acronyms</w:t>
        </w:r>
        <w:r w:rsidR="00D36687" w:rsidRPr="00C5635F">
          <w:rPr>
            <w:noProof/>
            <w:webHidden/>
          </w:rPr>
          <w:tab/>
        </w:r>
        <w:r w:rsidR="00D36687" w:rsidRPr="00C5635F">
          <w:rPr>
            <w:noProof/>
            <w:webHidden/>
          </w:rPr>
          <w:fldChar w:fldCharType="begin"/>
        </w:r>
        <w:r w:rsidR="00D36687" w:rsidRPr="00C5635F">
          <w:rPr>
            <w:noProof/>
            <w:webHidden/>
          </w:rPr>
          <w:instrText xml:space="preserve"> PAGEREF _Toc424659475 \h </w:instrText>
        </w:r>
        <w:r w:rsidR="00D36687" w:rsidRPr="00C5635F">
          <w:rPr>
            <w:noProof/>
            <w:webHidden/>
          </w:rPr>
        </w:r>
        <w:r w:rsidR="00D36687" w:rsidRPr="00C5635F">
          <w:rPr>
            <w:noProof/>
            <w:webHidden/>
          </w:rPr>
          <w:fldChar w:fldCharType="separate"/>
        </w:r>
        <w:r w:rsidR="00D36687">
          <w:rPr>
            <w:noProof/>
            <w:webHidden/>
          </w:rPr>
          <w:t>35</w:t>
        </w:r>
        <w:r w:rsidR="00D36687" w:rsidRPr="00C5635F">
          <w:rPr>
            <w:noProof/>
            <w:webHidden/>
          </w:rPr>
          <w:fldChar w:fldCharType="end"/>
        </w:r>
      </w:hyperlink>
    </w:p>
    <w:p w14:paraId="0BD7FD87" w14:textId="77777777" w:rsidR="00D36687" w:rsidRPr="00C5635F" w:rsidRDefault="00C34F39">
      <w:pPr>
        <w:pStyle w:val="TOC1"/>
        <w:rPr>
          <w:rStyle w:val="Hyperlink"/>
          <w:noProof/>
        </w:rPr>
      </w:pPr>
      <w:hyperlink w:anchor="_Toc424659476" w:history="1">
        <w:r w:rsidR="00D36687" w:rsidRPr="00C5635F">
          <w:rPr>
            <w:rStyle w:val="Hyperlink"/>
            <w:noProof/>
          </w:rPr>
          <w:t xml:space="preserve">Exhibit </w:t>
        </w:r>
        <w:r w:rsidR="00D36687">
          <w:rPr>
            <w:rStyle w:val="Hyperlink"/>
            <w:noProof/>
          </w:rPr>
          <w:t>5</w:t>
        </w:r>
        <w:r w:rsidR="00D36687" w:rsidRPr="00C5635F">
          <w:rPr>
            <w:rStyle w:val="Hyperlink"/>
            <w:noProof/>
          </w:rPr>
          <w:t>-3</w:t>
        </w:r>
        <w:r w:rsidR="00D36687" w:rsidRPr="00C5635F">
          <w:rPr>
            <w:rFonts w:asciiTheme="minorHAnsi" w:eastAsiaTheme="minorEastAsia" w:hAnsiTheme="minorHAnsi"/>
            <w:bCs w:val="0"/>
            <w:iCs w:val="0"/>
            <w:noProof/>
            <w:sz w:val="22"/>
            <w:szCs w:val="22"/>
          </w:rPr>
          <w:tab/>
        </w:r>
        <w:r w:rsidR="00D36687" w:rsidRPr="00C5635F">
          <w:rPr>
            <w:rStyle w:val="Hyperlink"/>
            <w:noProof/>
          </w:rPr>
          <w:t>Glossary</w:t>
        </w:r>
        <w:r w:rsidR="00D36687" w:rsidRPr="00C5635F">
          <w:rPr>
            <w:noProof/>
            <w:webHidden/>
          </w:rPr>
          <w:tab/>
        </w:r>
        <w:r w:rsidR="00D36687" w:rsidRPr="00C5635F">
          <w:rPr>
            <w:noProof/>
            <w:webHidden/>
          </w:rPr>
          <w:fldChar w:fldCharType="begin"/>
        </w:r>
        <w:r w:rsidR="00D36687" w:rsidRPr="00C5635F">
          <w:rPr>
            <w:noProof/>
            <w:webHidden/>
          </w:rPr>
          <w:instrText xml:space="preserve"> PAGEREF _Toc424659476 \h </w:instrText>
        </w:r>
        <w:r w:rsidR="00D36687" w:rsidRPr="00C5635F">
          <w:rPr>
            <w:noProof/>
            <w:webHidden/>
          </w:rPr>
        </w:r>
        <w:r w:rsidR="00D36687" w:rsidRPr="00C5635F">
          <w:rPr>
            <w:noProof/>
            <w:webHidden/>
          </w:rPr>
          <w:fldChar w:fldCharType="separate"/>
        </w:r>
        <w:r w:rsidR="00D36687">
          <w:rPr>
            <w:noProof/>
            <w:webHidden/>
          </w:rPr>
          <w:t>37</w:t>
        </w:r>
        <w:r w:rsidR="00D36687" w:rsidRPr="00C5635F">
          <w:rPr>
            <w:noProof/>
            <w:webHidden/>
          </w:rPr>
          <w:fldChar w:fldCharType="end"/>
        </w:r>
      </w:hyperlink>
    </w:p>
    <w:p w14:paraId="0BD7FD88" w14:textId="77777777" w:rsidR="00D36687" w:rsidRDefault="00D36687" w:rsidP="00771627">
      <w:pPr>
        <w:ind w:left="0"/>
      </w:pPr>
      <w:r w:rsidRPr="00C5635F">
        <w:t xml:space="preserve">Exhibit </w:t>
      </w:r>
      <w:r>
        <w:t>5</w:t>
      </w:r>
      <w:r w:rsidRPr="00C5635F">
        <w:t>-4</w:t>
      </w:r>
      <w:r w:rsidRPr="00C5635F">
        <w:tab/>
      </w:r>
      <w:r w:rsidRPr="00771627">
        <w:t>Suspension and Debarment Comparison</w:t>
      </w:r>
      <w:r>
        <w:t xml:space="preserve">   ………………...………………40</w:t>
      </w:r>
    </w:p>
    <w:p w14:paraId="0BD7FD89" w14:textId="77777777" w:rsidR="00D36687" w:rsidRDefault="00D36687" w:rsidP="00771627">
      <w:pPr>
        <w:ind w:left="0"/>
      </w:pPr>
      <w:r>
        <w:t>Exhibit 5-5</w:t>
      </w:r>
      <w:r w:rsidRPr="00C5635F">
        <w:rPr>
          <w:b/>
        </w:rPr>
        <w:t xml:space="preserve"> </w:t>
      </w:r>
      <w:r>
        <w:rPr>
          <w:b/>
        </w:rPr>
        <w:tab/>
      </w:r>
      <w:r w:rsidRPr="00771627">
        <w:t>Enforcement Tools</w:t>
      </w:r>
      <w:r>
        <w:t xml:space="preserve">    ………………………………………………………….41</w:t>
      </w:r>
    </w:p>
    <w:p w14:paraId="0BD7FD8A" w14:textId="77777777" w:rsidR="00D36687" w:rsidRPr="00771627" w:rsidRDefault="00D36687" w:rsidP="00771627">
      <w:pPr>
        <w:ind w:left="0"/>
        <w:rPr>
          <w:bCs/>
          <w:iCs/>
        </w:rPr>
      </w:pPr>
      <w:r>
        <w:t>Exhibit 5-6</w:t>
      </w:r>
      <w:r>
        <w:tab/>
        <w:t>DEC Satellite Office Jurisdictions……………………………………………42</w:t>
      </w:r>
    </w:p>
    <w:p w14:paraId="0BD7FD8B" w14:textId="77777777" w:rsidR="00B57CCF" w:rsidRPr="008F2BCE" w:rsidRDefault="00D36687" w:rsidP="001820DF">
      <w:pPr>
        <w:pStyle w:val="HBX1Outline"/>
        <w:rPr>
          <w:rFonts w:eastAsia="MS Mincho"/>
        </w:rPr>
      </w:pPr>
      <w:r w:rsidRPr="00C5635F">
        <w:fldChar w:fldCharType="end"/>
      </w:r>
      <w:bookmarkStart w:id="1" w:name="_Toc410134259"/>
      <w:bookmarkStart w:id="2" w:name="_Toc424653447"/>
      <w:bookmarkStart w:id="3" w:name="_Toc424659463"/>
      <w:r w:rsidR="00B57CCF" w:rsidRPr="008F2BCE">
        <w:rPr>
          <w:rFonts w:eastAsia="MS Mincho"/>
        </w:rPr>
        <w:t>Departmental Enforcement Center (DEC)</w:t>
      </w:r>
      <w:bookmarkEnd w:id="1"/>
      <w:bookmarkEnd w:id="2"/>
      <w:bookmarkEnd w:id="3"/>
    </w:p>
    <w:p w14:paraId="0BD7FD8C" w14:textId="77777777" w:rsidR="00B57CCF" w:rsidRPr="008F2BCE" w:rsidRDefault="000C16CE" w:rsidP="001820DF">
      <w:pPr>
        <w:pStyle w:val="HBAOutline"/>
      </w:pPr>
      <w:r w:rsidRPr="004613EC">
        <w:rPr>
          <w:rStyle w:val="Heading4Char"/>
          <w:rFonts w:cs="Arial"/>
          <w:bCs w:val="0"/>
          <w:iCs w:val="0"/>
        </w:rPr>
        <w:t>Purpose</w:t>
      </w:r>
    </w:p>
    <w:p w14:paraId="0BD7FD8D" w14:textId="77777777" w:rsidR="00B57CCF" w:rsidRDefault="00B57CCF" w:rsidP="001820DF">
      <w:pPr>
        <w:pStyle w:val="HB1Outline"/>
      </w:pPr>
      <w:r>
        <w:t xml:space="preserve">This Section describes the Departmental Enforcement Center’s (DEC) role in providing </w:t>
      </w:r>
      <w:r w:rsidR="00233A18">
        <w:t xml:space="preserve">analytical and </w:t>
      </w:r>
      <w:r>
        <w:t>enforcement services for the Office of Multifamily Housing</w:t>
      </w:r>
      <w:r w:rsidR="0033564D">
        <w:t xml:space="preserve"> (MFH)</w:t>
      </w:r>
      <w:r>
        <w:t>.</w:t>
      </w:r>
      <w:r w:rsidR="00613FBD">
        <w:t xml:space="preserve"> </w:t>
      </w:r>
      <w:r w:rsidRPr="00541547">
        <w:t>The DEC</w:t>
      </w:r>
      <w:r>
        <w:t>, part of the Office of General Counsel</w:t>
      </w:r>
      <w:r w:rsidR="000A56B9">
        <w:t xml:space="preserve"> (OGC)</w:t>
      </w:r>
      <w:r>
        <w:t>,</w:t>
      </w:r>
      <w:r w:rsidRPr="00541547">
        <w:t xml:space="preserve"> works with</w:t>
      </w:r>
      <w:r>
        <w:t xml:space="preserve"> and </w:t>
      </w:r>
      <w:r w:rsidRPr="00541547">
        <w:t xml:space="preserve">provides assistance </w:t>
      </w:r>
      <w:r>
        <w:t>to</w:t>
      </w:r>
      <w:r w:rsidRPr="00541547">
        <w:t xml:space="preserve"> </w:t>
      </w:r>
      <w:r w:rsidR="00536353">
        <w:t>MFH</w:t>
      </w:r>
      <w:r w:rsidRPr="00541547">
        <w:t xml:space="preserve"> to </w:t>
      </w:r>
      <w:r w:rsidR="00233A18">
        <w:t>ensure that</w:t>
      </w:r>
      <w:r w:rsidR="00233A18" w:rsidRPr="00541547">
        <w:t xml:space="preserve"> </w:t>
      </w:r>
      <w:r w:rsidRPr="00541547">
        <w:t xml:space="preserve">owners, agents, and other program participants </w:t>
      </w:r>
      <w:r w:rsidR="00233A18">
        <w:t>comply</w:t>
      </w:r>
      <w:r w:rsidRPr="00541547">
        <w:t xml:space="preserve"> with statutory and regulatory requirements</w:t>
      </w:r>
      <w:r>
        <w:t xml:space="preserve"> and their business agreements with </w:t>
      </w:r>
      <w:r w:rsidR="0090490A">
        <w:t>U.S. Department of Housing and Urban Development (</w:t>
      </w:r>
      <w:r>
        <w:t>HUD</w:t>
      </w:r>
      <w:r w:rsidR="0090490A">
        <w:t>)</w:t>
      </w:r>
      <w:r>
        <w:t>.</w:t>
      </w:r>
      <w:r w:rsidR="00613FBD">
        <w:t xml:space="preserve"> </w:t>
      </w:r>
      <w:r>
        <w:t>Consistent enforcement of HUD’s requirements promotes HUD’s mission of providing decent, safe and sanitary housing to multifamily housing tenants.</w:t>
      </w:r>
      <w:r w:rsidR="00613FBD">
        <w:t xml:space="preserve"> </w:t>
      </w:r>
    </w:p>
    <w:p w14:paraId="0BD7FD8E" w14:textId="77777777" w:rsidR="00B57CCF" w:rsidRDefault="00E839B2">
      <w:pPr>
        <w:pStyle w:val="HB1Outline"/>
      </w:pPr>
      <w:r>
        <w:lastRenderedPageBreak/>
        <w:t xml:space="preserve">There is a reduced risk of claims to the Federal Housing Administration’s (FHA) insurance fund when FHA-insured projects are financially sound. </w:t>
      </w:r>
      <w:r w:rsidR="00B57CCF" w:rsidRPr="00C2007F">
        <w:rPr>
          <w:color w:val="000000" w:themeColor="text1"/>
        </w:rPr>
        <w:t xml:space="preserve">The DEC’s mission is to “promote integrity, management accountability, and the physical and financial viability of </w:t>
      </w:r>
      <w:r w:rsidR="0033564D">
        <w:rPr>
          <w:color w:val="000000" w:themeColor="text1"/>
        </w:rPr>
        <w:t>FHA-</w:t>
      </w:r>
      <w:r w:rsidR="00B57CCF" w:rsidRPr="00C2007F">
        <w:rPr>
          <w:color w:val="000000" w:themeColor="text1"/>
        </w:rPr>
        <w:t>insured and assisted housing by taking effective and aggressive civil or administrative action against those who violate or abuse HUD’s requirements.”</w:t>
      </w:r>
      <w:r w:rsidR="00613FBD">
        <w:rPr>
          <w:color w:val="000000" w:themeColor="text1"/>
        </w:rPr>
        <w:t xml:space="preserve"> </w:t>
      </w:r>
      <w:r w:rsidR="00B57CCF" w:rsidRPr="00C2007F">
        <w:t>The DEC works with MFH and program participants to achieve voluntary compliance.</w:t>
      </w:r>
      <w:r w:rsidR="00613FBD">
        <w:t xml:space="preserve"> </w:t>
      </w:r>
      <w:r w:rsidR="00B57CCF" w:rsidRPr="00C2007F">
        <w:t>If voluntary compliance is not achieved, the DEC may recommend or pursue additional enforcement action.</w:t>
      </w:r>
    </w:p>
    <w:p w14:paraId="0BD7FD8F" w14:textId="77777777" w:rsidR="00B57CCF" w:rsidRDefault="00B57CCF">
      <w:pPr>
        <w:pStyle w:val="HB1Outline"/>
      </w:pPr>
      <w:r>
        <w:t>The DEC also provides enforcement and analytical services to other HUD program offices, including the Office of Healthcare Programs, Office of Public and Indian Housing, Office of Native American Programs and Community Planning and Development.</w:t>
      </w:r>
      <w:r w:rsidR="00613FBD">
        <w:t xml:space="preserve"> </w:t>
      </w:r>
    </w:p>
    <w:p w14:paraId="0BD7FD90" w14:textId="77777777" w:rsidR="00B57CCF" w:rsidRPr="008F2BCE" w:rsidRDefault="00B57CCF" w:rsidP="001820DF">
      <w:pPr>
        <w:pStyle w:val="HBAOutline"/>
      </w:pPr>
      <w:r w:rsidRPr="008F2BCE">
        <w:t>Applicability</w:t>
      </w:r>
    </w:p>
    <w:p w14:paraId="0BD7FD91" w14:textId="77777777" w:rsidR="00B57CCF" w:rsidRDefault="00B57CCF" w:rsidP="00771627">
      <w:pPr>
        <w:pStyle w:val="HBAText"/>
      </w:pPr>
      <w:r>
        <w:t xml:space="preserve">The DEC assists MFH </w:t>
      </w:r>
      <w:r w:rsidR="00233A18" w:rsidRPr="00916861">
        <w:t xml:space="preserve">by: 1) assessing the statutory, regulatory and contractual compliance of MFH’s program participants; 2) working with willing program participants to regain compliance; and 3) taking appropriate enforcement action against unwilling participants or others when timely compliance is not achieved or sustained. </w:t>
      </w:r>
      <w:r>
        <w:t xml:space="preserve">The DEC provides a quality assurance function for </w:t>
      </w:r>
      <w:r w:rsidR="00E839B2">
        <w:t>MFH</w:t>
      </w:r>
      <w:r>
        <w:t xml:space="preserve"> in its review of the Administrative Record.</w:t>
      </w:r>
      <w:r w:rsidR="00613FBD">
        <w:t xml:space="preserve"> </w:t>
      </w:r>
      <w:r w:rsidR="0033564D">
        <w:t>By reviewing</w:t>
      </w:r>
      <w:r>
        <w:t xml:space="preserve"> owners’ financial statements</w:t>
      </w:r>
      <w:r w:rsidR="0033564D">
        <w:t>, DEC has</w:t>
      </w:r>
      <w:r>
        <w:t xml:space="preserve"> improved the quality of such statements.</w:t>
      </w:r>
      <w:r w:rsidR="00613FBD">
        <w:t xml:space="preserve"> </w:t>
      </w:r>
      <w:r>
        <w:t>This, in turn, reduces the risk of claims to FHA insurance funds.</w:t>
      </w:r>
      <w:r w:rsidR="00613FBD">
        <w:t xml:space="preserve"> </w:t>
      </w:r>
      <w:r>
        <w:t>In addition, DEC financial reviews have resulted in recoveries of project funds and payments to HUD (i.e., recalculated amounts due on Mortgage Restructuring Notes and payments on other subordinate loans).</w:t>
      </w:r>
      <w:r w:rsidR="00613FBD">
        <w:t xml:space="preserve"> </w:t>
      </w:r>
    </w:p>
    <w:p w14:paraId="0BD7FD92" w14:textId="77777777" w:rsidR="00B57CCF" w:rsidRDefault="00B57CCF" w:rsidP="001820DF">
      <w:pPr>
        <w:pStyle w:val="HBAOutline"/>
      </w:pPr>
      <w:bookmarkStart w:id="4" w:name="_Toc410134261"/>
      <w:r>
        <w:t>The Referral Process</w:t>
      </w:r>
      <w:bookmarkEnd w:id="4"/>
    </w:p>
    <w:p w14:paraId="0BD7FD93" w14:textId="77777777" w:rsidR="00B57CCF" w:rsidRDefault="00B57CCF" w:rsidP="001820DF">
      <w:pPr>
        <w:pStyle w:val="HB1Outline"/>
        <w:numPr>
          <w:ilvl w:val="0"/>
          <w:numId w:val="37"/>
        </w:numPr>
      </w:pPr>
      <w:r>
        <w:t>Automatic DEC Referrals</w:t>
      </w:r>
    </w:p>
    <w:p w14:paraId="0BD7FD94" w14:textId="77777777" w:rsidR="00B57CCF" w:rsidRPr="00410B41" w:rsidRDefault="00B57CCF" w:rsidP="00802A85">
      <w:pPr>
        <w:pStyle w:val="HBaOutline0"/>
      </w:pPr>
      <w:r w:rsidRPr="00410B41">
        <w:t>Referral types</w:t>
      </w:r>
    </w:p>
    <w:p w14:paraId="0BD7FD95" w14:textId="77777777" w:rsidR="00D2056B" w:rsidRDefault="00B57CCF" w:rsidP="00771627">
      <w:pPr>
        <w:pStyle w:val="HBaText0"/>
      </w:pPr>
      <w:r>
        <w:t>There are three types of automatic DEC referrals:</w:t>
      </w:r>
      <w:r w:rsidR="00613FBD">
        <w:t xml:space="preserve"> </w:t>
      </w:r>
    </w:p>
    <w:p w14:paraId="0BD7FD96" w14:textId="77777777" w:rsidR="00D2056B" w:rsidRDefault="00EE7D31" w:rsidP="009E5056">
      <w:pPr>
        <w:pStyle w:val="HBiOutline"/>
      </w:pPr>
      <w:r>
        <w:lastRenderedPageBreak/>
        <w:t xml:space="preserve">Physical </w:t>
      </w:r>
      <w:r w:rsidR="00D2056B">
        <w:t xml:space="preserve">– </w:t>
      </w:r>
      <w:r w:rsidR="00FE251E">
        <w:t xml:space="preserve">Currently, </w:t>
      </w:r>
      <w:r w:rsidR="00B57CCF">
        <w:t xml:space="preserve">an automatic physical referral to the DEC </w:t>
      </w:r>
      <w:r w:rsidR="00FE251E">
        <w:t xml:space="preserve">is made </w:t>
      </w:r>
      <w:r w:rsidR="00B57CCF">
        <w:t>when a project receives a</w:t>
      </w:r>
      <w:r w:rsidR="00B57CCF" w:rsidRPr="00FE0246">
        <w:t xml:space="preserve"> physical </w:t>
      </w:r>
      <w:r w:rsidR="00B57CCF">
        <w:t xml:space="preserve">inspection </w:t>
      </w:r>
      <w:r w:rsidR="00B57CCF" w:rsidRPr="00FE0246">
        <w:t>score of 30 or less</w:t>
      </w:r>
      <w:r w:rsidR="00B57CCF">
        <w:t>.</w:t>
      </w:r>
      <w:r w:rsidR="00613FBD">
        <w:t xml:space="preserve"> </w:t>
      </w:r>
      <w:r w:rsidR="00FE251E">
        <w:t>This number is subject to change.</w:t>
      </w:r>
    </w:p>
    <w:p w14:paraId="0BD7FD97" w14:textId="77777777" w:rsidR="00D2056B" w:rsidRDefault="00EE7D31" w:rsidP="009E5056">
      <w:pPr>
        <w:pStyle w:val="HBiOutline"/>
      </w:pPr>
      <w:r>
        <w:t>Non-Filer</w:t>
      </w:r>
      <w:r w:rsidR="00D2056B">
        <w:t xml:space="preserve"> – </w:t>
      </w:r>
      <w:r w:rsidR="00B57CCF">
        <w:t>REAC generates a non-filer referral to the DEC when an owner has failed to file its</w:t>
      </w:r>
      <w:r w:rsidR="00B57CCF" w:rsidRPr="00FE0246">
        <w:t xml:space="preserve"> required annual financial statement</w:t>
      </w:r>
      <w:r w:rsidR="00B51031">
        <w:t xml:space="preserve"> (AFS)</w:t>
      </w:r>
      <w:r w:rsidR="00B57CCF">
        <w:t xml:space="preserve"> submission within 41 days after the due date.</w:t>
      </w:r>
      <w:r w:rsidR="00613FBD">
        <w:t xml:space="preserve"> </w:t>
      </w:r>
    </w:p>
    <w:p w14:paraId="0BD7FD98" w14:textId="77777777" w:rsidR="00B57CCF" w:rsidRDefault="00EE7D31" w:rsidP="009E5056">
      <w:pPr>
        <w:pStyle w:val="HBiOutline"/>
      </w:pPr>
      <w:r>
        <w:t xml:space="preserve">Financial </w:t>
      </w:r>
      <w:r w:rsidR="00D2056B">
        <w:t xml:space="preserve">– </w:t>
      </w:r>
      <w:r w:rsidR="00B57CCF">
        <w:t xml:space="preserve">REAC will create a financial referral to the DEC when its </w:t>
      </w:r>
      <w:r w:rsidR="0063499A">
        <w:t xml:space="preserve">analysts </w:t>
      </w:r>
      <w:r w:rsidR="00B57CCF">
        <w:t>identify</w:t>
      </w:r>
      <w:r w:rsidR="00B57CCF" w:rsidRPr="00FE0246">
        <w:t xml:space="preserve"> </w:t>
      </w:r>
      <w:r w:rsidR="00B57CCF">
        <w:t>Compliance F</w:t>
      </w:r>
      <w:r w:rsidR="00B57CCF" w:rsidRPr="00FE0246">
        <w:t>lag</w:t>
      </w:r>
      <w:r w:rsidR="00B57CCF">
        <w:t>s</w:t>
      </w:r>
      <w:r w:rsidR="00B57CCF" w:rsidRPr="00FE0246">
        <w:t xml:space="preserve"> for a financial issue</w:t>
      </w:r>
      <w:r w:rsidR="00B57CCF">
        <w:t xml:space="preserve"> that meet</w:t>
      </w:r>
      <w:r w:rsidR="0018701E">
        <w:t>s</w:t>
      </w:r>
      <w:r w:rsidR="00B57CCF">
        <w:t xml:space="preserve"> the thresholds set out in the Protocol for a DEC referral.</w:t>
      </w:r>
    </w:p>
    <w:p w14:paraId="0BD7FD99" w14:textId="77777777" w:rsidR="00B57CCF" w:rsidRDefault="00B57CCF" w:rsidP="00802A85">
      <w:pPr>
        <w:pStyle w:val="HBaOutline0"/>
      </w:pPr>
      <w:r>
        <w:t>Assignments to DEC Offices</w:t>
      </w:r>
    </w:p>
    <w:p w14:paraId="0BD7FD9A" w14:textId="77777777" w:rsidR="00B57CCF" w:rsidRPr="000B1E80" w:rsidRDefault="00B57CCF" w:rsidP="00771627">
      <w:pPr>
        <w:pStyle w:val="HBaText0"/>
      </w:pPr>
      <w:r w:rsidRPr="000B1E80">
        <w:t>With some exceptions, automatic referrals to the DEC go into the i</w:t>
      </w:r>
      <w:r w:rsidR="00A13888">
        <w:t xml:space="preserve">ntegrated </w:t>
      </w:r>
      <w:r w:rsidRPr="000B1E80">
        <w:t>R</w:t>
      </w:r>
      <w:r w:rsidR="00A13888">
        <w:t xml:space="preserve">eal </w:t>
      </w:r>
      <w:r w:rsidRPr="000B1E80">
        <w:t>E</w:t>
      </w:r>
      <w:r w:rsidR="00A13888">
        <w:t xml:space="preserve">state </w:t>
      </w:r>
      <w:r w:rsidRPr="000B1E80">
        <w:t>M</w:t>
      </w:r>
      <w:r w:rsidR="00A13888">
        <w:t xml:space="preserve">anagement </w:t>
      </w:r>
      <w:r w:rsidRPr="000B1E80">
        <w:t>S</w:t>
      </w:r>
      <w:r w:rsidR="00A13888">
        <w:t>ystem (iREMS)</w:t>
      </w:r>
      <w:r w:rsidRPr="000B1E80">
        <w:t xml:space="preserve"> queue for the satellite office that has jurisdiction </w:t>
      </w:r>
      <w:r w:rsidR="00E839B2">
        <w:t>in the project’s location</w:t>
      </w:r>
      <w:r w:rsidR="00233A18">
        <w:t xml:space="preserve"> (see Exhibit </w:t>
      </w:r>
      <w:r w:rsidR="00F31A67">
        <w:t>5</w:t>
      </w:r>
      <w:r w:rsidR="00233A18">
        <w:t xml:space="preserve"> – 6)</w:t>
      </w:r>
      <w:r w:rsidRPr="000B1E80">
        <w:t>.</w:t>
      </w:r>
      <w:r w:rsidR="00613FBD">
        <w:t xml:space="preserve"> </w:t>
      </w:r>
      <w:r w:rsidRPr="000B1E80">
        <w:t>In some situations, however, the DEC may reassign automatic referrals from one satellite office to another with capacity to handle the work, regardless of geographic locations.</w:t>
      </w:r>
      <w:r w:rsidR="00613FBD">
        <w:t xml:space="preserve"> </w:t>
      </w:r>
      <w:r>
        <w:t>In most cases, t</w:t>
      </w:r>
      <w:r w:rsidRPr="000B1E80">
        <w:t xml:space="preserve">he </w:t>
      </w:r>
      <w:r>
        <w:t>Account Executive</w:t>
      </w:r>
      <w:r w:rsidRPr="000B1E80">
        <w:t xml:space="preserve"> should be able to identify the DEC </w:t>
      </w:r>
      <w:r w:rsidR="00CD2DF6">
        <w:t>S</w:t>
      </w:r>
      <w:r w:rsidRPr="000B1E80">
        <w:t xml:space="preserve">atellite </w:t>
      </w:r>
      <w:r w:rsidR="00CD2DF6">
        <w:t>O</w:t>
      </w:r>
      <w:r w:rsidRPr="000B1E80">
        <w:t xml:space="preserve">ffice and </w:t>
      </w:r>
      <w:r w:rsidR="00CD2DF6">
        <w:t>A</w:t>
      </w:r>
      <w:r w:rsidRPr="000B1E80">
        <w:t xml:space="preserve">nalyst assigned to the project from the Referral ID screen in iREMS within </w:t>
      </w:r>
      <w:r w:rsidR="00233A18">
        <w:t>a few</w:t>
      </w:r>
      <w:r w:rsidR="00233A18" w:rsidRPr="000B1E80">
        <w:t xml:space="preserve"> </w:t>
      </w:r>
      <w:r w:rsidRPr="000B1E80">
        <w:t xml:space="preserve">business days of the </w:t>
      </w:r>
      <w:r>
        <w:t xml:space="preserve">DEC’s receipt of the </w:t>
      </w:r>
      <w:r w:rsidRPr="000B1E80">
        <w:t xml:space="preserve">referral. </w:t>
      </w:r>
    </w:p>
    <w:p w14:paraId="0BD7FD9B" w14:textId="77777777" w:rsidR="00B57CCF" w:rsidRPr="00410B41" w:rsidRDefault="00B57CCF" w:rsidP="001820DF">
      <w:pPr>
        <w:pStyle w:val="HB1Outline"/>
      </w:pPr>
      <w:r w:rsidRPr="00874BD9">
        <w:t xml:space="preserve">Elective </w:t>
      </w:r>
      <w:r>
        <w:t xml:space="preserve">DEC </w:t>
      </w:r>
      <w:r w:rsidRPr="00874BD9">
        <w:t xml:space="preserve">Referrals </w:t>
      </w:r>
    </w:p>
    <w:p w14:paraId="0BD7FD9C" w14:textId="77777777" w:rsidR="00B57CCF" w:rsidRPr="00D005BD" w:rsidRDefault="00B57CCF" w:rsidP="009D44C2">
      <w:pPr>
        <w:pStyle w:val="HBaOutline0"/>
        <w:numPr>
          <w:ilvl w:val="0"/>
          <w:numId w:val="24"/>
        </w:numPr>
      </w:pPr>
      <w:r>
        <w:t>M</w:t>
      </w:r>
      <w:r w:rsidR="00E839B2">
        <w:t>FH</w:t>
      </w:r>
      <w:r>
        <w:t xml:space="preserve"> may make elective referrals to the DEC when additional enforcement assistance will help to obtain owner compliance, deter others from similar actions, or protect the government from irresponsible persons.</w:t>
      </w:r>
      <w:r w:rsidR="00613FBD">
        <w:t xml:space="preserve"> </w:t>
      </w:r>
      <w:r w:rsidR="00A077C6">
        <w:t xml:space="preserve">Elective referrals should start with a conversation between MFH management and DEC management.  During the conversations, </w:t>
      </w:r>
      <w:r w:rsidR="00A077C6" w:rsidRPr="00916861">
        <w:t>the DEC may be able to provide feedback to MF staff that could make a referral to the DEC unnecessary, or the DEC may offer additional asset management suggestions that might be prudent prior to making a referral</w:t>
      </w:r>
      <w:r w:rsidR="00A077C6">
        <w:t xml:space="preserve">.  </w:t>
      </w:r>
      <w:r>
        <w:t xml:space="preserve">In the field, the </w:t>
      </w:r>
      <w:r w:rsidR="00A077C6">
        <w:t xml:space="preserve">MF Regional </w:t>
      </w:r>
      <w:r>
        <w:t xml:space="preserve">Director or </w:t>
      </w:r>
      <w:r w:rsidR="00A077C6">
        <w:t>MF Satellite Office</w:t>
      </w:r>
      <w:r>
        <w:t xml:space="preserve"> Director </w:t>
      </w:r>
      <w:r w:rsidR="00A077C6">
        <w:t>should contact the appropriate DEC Satellite Office Director to discuss making</w:t>
      </w:r>
      <w:r>
        <w:t xml:space="preserve"> an elective referral. MFH Asset Management </w:t>
      </w:r>
      <w:r w:rsidR="00E839B2">
        <w:t>at H</w:t>
      </w:r>
      <w:r>
        <w:t xml:space="preserve">eadquarters may </w:t>
      </w:r>
      <w:r w:rsidR="00A077C6">
        <w:t>likewise contact DEC Headquarters about making elective referrals</w:t>
      </w:r>
      <w:r>
        <w:t xml:space="preserve">. </w:t>
      </w:r>
      <w:r w:rsidR="00171918">
        <w:t>For information about</w:t>
      </w:r>
      <w:r w:rsidR="00BE3051">
        <w:t xml:space="preserve"> civil rights statutory and programmatic violations, and </w:t>
      </w:r>
      <w:r w:rsidR="00171918">
        <w:t xml:space="preserve">how </w:t>
      </w:r>
      <w:r w:rsidR="00BE3051">
        <w:t>MFH and FHEO</w:t>
      </w:r>
      <w:r w:rsidR="00171918">
        <w:t xml:space="preserve"> coordinate to achieve recipient </w:t>
      </w:r>
      <w:r w:rsidR="00BE3051">
        <w:t>compliance</w:t>
      </w:r>
      <w:r w:rsidR="00654D7A">
        <w:t xml:space="preserve"> through sanctions and penalties</w:t>
      </w:r>
      <w:r w:rsidR="00BE3051">
        <w:t>, refer to Chapter 9.</w:t>
      </w:r>
      <w:r w:rsidR="006D617E">
        <w:t xml:space="preserve"> </w:t>
      </w:r>
      <w:r w:rsidR="00A077C6">
        <w:t>Once a verbal agreement is made for the DEC to take an elective referral, the MF Director should</w:t>
      </w:r>
      <w:r>
        <w:t xml:space="preserve"> </w:t>
      </w:r>
      <w:r w:rsidR="00F24D6A">
        <w:t xml:space="preserve">send </w:t>
      </w:r>
      <w:r w:rsidR="00A077C6">
        <w:t xml:space="preserve">an email to the applicable DEC Director memorializing the agreement regarding </w:t>
      </w:r>
      <w:r>
        <w:t>the elective referral.</w:t>
      </w:r>
      <w:r w:rsidR="00613FBD">
        <w:t xml:space="preserve"> </w:t>
      </w:r>
      <w:r w:rsidR="00A077C6">
        <w:t xml:space="preserve">  At a minimum, the email should </w:t>
      </w:r>
      <w:r w:rsidRPr="00D005BD">
        <w:t>include</w:t>
      </w:r>
      <w:r w:rsidR="00D811DA">
        <w:t>:</w:t>
      </w:r>
      <w:r w:rsidR="00495519">
        <w:t xml:space="preserve"> </w:t>
      </w:r>
    </w:p>
    <w:p w14:paraId="0BD7FD9D" w14:textId="77777777" w:rsidR="00B57CCF" w:rsidRPr="00D005BD" w:rsidRDefault="00B57CCF" w:rsidP="00D2056B">
      <w:pPr>
        <w:pStyle w:val="HBiOutline"/>
        <w:numPr>
          <w:ilvl w:val="0"/>
          <w:numId w:val="55"/>
        </w:numPr>
      </w:pPr>
      <w:r w:rsidRPr="00D005BD">
        <w:lastRenderedPageBreak/>
        <w:t>Name of Project</w:t>
      </w:r>
      <w:r w:rsidR="00FD2972">
        <w:t>.</w:t>
      </w:r>
      <w:r>
        <w:t xml:space="preserve"> </w:t>
      </w:r>
    </w:p>
    <w:p w14:paraId="0BD7FD9E" w14:textId="77777777" w:rsidR="00B57CCF" w:rsidRPr="00D005BD" w:rsidRDefault="00B57CCF" w:rsidP="00771627">
      <w:pPr>
        <w:pStyle w:val="HBiOutline"/>
      </w:pPr>
      <w:r w:rsidRPr="00D005BD">
        <w:t xml:space="preserve">Programmatic </w:t>
      </w:r>
      <w:r>
        <w:t>i</w:t>
      </w:r>
      <w:r w:rsidRPr="00D005BD">
        <w:t xml:space="preserve">dentifying </w:t>
      </w:r>
      <w:r>
        <w:t>n</w:t>
      </w:r>
      <w:r w:rsidRPr="00D005BD">
        <w:t>umber</w:t>
      </w:r>
      <w:r>
        <w:t>s</w:t>
      </w:r>
      <w:r w:rsidRPr="00D005BD">
        <w:t xml:space="preserve"> (iREMS, </w:t>
      </w:r>
      <w:r>
        <w:t xml:space="preserve">FHA, </w:t>
      </w:r>
      <w:r w:rsidRPr="00D005BD">
        <w:t>Section 8</w:t>
      </w:r>
      <w:r>
        <w:t xml:space="preserve"> or other</w:t>
      </w:r>
      <w:r w:rsidRPr="00D005BD">
        <w:t>)</w:t>
      </w:r>
      <w:r w:rsidR="00FD2972">
        <w:t>.</w:t>
      </w:r>
    </w:p>
    <w:p w14:paraId="0BD7FD9F" w14:textId="77777777" w:rsidR="00B57CCF" w:rsidRPr="00D005BD" w:rsidRDefault="00B57CCF" w:rsidP="00771627">
      <w:pPr>
        <w:pStyle w:val="HBiOutline"/>
      </w:pPr>
      <w:r>
        <w:t xml:space="preserve">A brief summary </w:t>
      </w:r>
      <w:r w:rsidRPr="00D005BD">
        <w:t>articulating the reason for the referral</w:t>
      </w:r>
      <w:r w:rsidR="00495519">
        <w:t xml:space="preserve">, including </w:t>
      </w:r>
      <w:r w:rsidR="00771627">
        <w:t>an explanation</w:t>
      </w:r>
      <w:r w:rsidRPr="00D005BD">
        <w:t xml:space="preserve"> of the business or contractual obligation</w:t>
      </w:r>
      <w:r w:rsidR="00495519">
        <w:t xml:space="preserve">, the </w:t>
      </w:r>
      <w:r w:rsidRPr="00D005BD">
        <w:t xml:space="preserve">date of </w:t>
      </w:r>
      <w:r>
        <w:t xml:space="preserve">the </w:t>
      </w:r>
      <w:r w:rsidRPr="00D005BD">
        <w:t>non-compliance</w:t>
      </w:r>
      <w:r>
        <w:t>(s)</w:t>
      </w:r>
      <w:r w:rsidR="00495519">
        <w:t>,</w:t>
      </w:r>
      <w:r>
        <w:t xml:space="preserve"> and</w:t>
      </w:r>
      <w:r w:rsidR="00495519">
        <w:t xml:space="preserve"> t</w:t>
      </w:r>
      <w:r>
        <w:t xml:space="preserve">he </w:t>
      </w:r>
      <w:r w:rsidRPr="00D005BD">
        <w:t>identi</w:t>
      </w:r>
      <w:r>
        <w:t>t</w:t>
      </w:r>
      <w:r w:rsidRPr="00D005BD">
        <w:t xml:space="preserve">y </w:t>
      </w:r>
      <w:r>
        <w:t xml:space="preserve">of </w:t>
      </w:r>
      <w:r w:rsidRPr="00D005BD">
        <w:t xml:space="preserve">the non-compliant party and </w:t>
      </w:r>
      <w:r w:rsidR="00495519">
        <w:t xml:space="preserve">their </w:t>
      </w:r>
      <w:r w:rsidRPr="00D005BD">
        <w:t xml:space="preserve">relationship to </w:t>
      </w:r>
      <w:r>
        <w:t xml:space="preserve">the </w:t>
      </w:r>
      <w:r w:rsidRPr="00D005BD">
        <w:t>contractual obligation</w:t>
      </w:r>
      <w:r>
        <w:t>.</w:t>
      </w:r>
    </w:p>
    <w:p w14:paraId="0BD7FDA0" w14:textId="77777777" w:rsidR="004E6521" w:rsidRDefault="004E6521" w:rsidP="00771627">
      <w:pPr>
        <w:pStyle w:val="HBiOutline"/>
      </w:pPr>
      <w:r>
        <w:t>Supporting documentation, of applicable business documents, correspondence and reports.</w:t>
      </w:r>
    </w:p>
    <w:p w14:paraId="0BD7FDA1" w14:textId="77777777" w:rsidR="00B57CCF" w:rsidRPr="00D005BD" w:rsidRDefault="00B57CCF" w:rsidP="00771627">
      <w:pPr>
        <w:pStyle w:val="HBiOutline"/>
      </w:pPr>
      <w:r>
        <w:t>The i</w:t>
      </w:r>
      <w:r w:rsidRPr="00D005BD">
        <w:t>denti</w:t>
      </w:r>
      <w:r>
        <w:t>t</w:t>
      </w:r>
      <w:r w:rsidRPr="00D005BD">
        <w:t xml:space="preserve">y </w:t>
      </w:r>
      <w:r>
        <w:t xml:space="preserve">of </w:t>
      </w:r>
      <w:r w:rsidRPr="00D005BD">
        <w:t xml:space="preserve">the requesting office and </w:t>
      </w:r>
      <w:r>
        <w:t>a p</w:t>
      </w:r>
      <w:r w:rsidRPr="00D005BD">
        <w:t xml:space="preserve">oint of </w:t>
      </w:r>
      <w:r>
        <w:t>c</w:t>
      </w:r>
      <w:r w:rsidRPr="00D005BD">
        <w:t>ontact name</w:t>
      </w:r>
      <w:r>
        <w:t>, email address,</w:t>
      </w:r>
      <w:r w:rsidRPr="00D005BD">
        <w:t xml:space="preserve"> and telephone number</w:t>
      </w:r>
      <w:r>
        <w:t>.</w:t>
      </w:r>
    </w:p>
    <w:p w14:paraId="0BD7FDA2" w14:textId="77777777" w:rsidR="00B57CCF" w:rsidRPr="00D005BD" w:rsidRDefault="00B57CCF" w:rsidP="001820DF">
      <w:pPr>
        <w:pStyle w:val="HBAOutline"/>
      </w:pPr>
      <w:r w:rsidRPr="00D005BD">
        <w:t xml:space="preserve">The DEC will </w:t>
      </w:r>
      <w:r w:rsidR="00A077C6">
        <w:t>formally acknowledge</w:t>
      </w:r>
      <w:r>
        <w:t xml:space="preserve"> the elective referral</w:t>
      </w:r>
      <w:r w:rsidR="00A077C6">
        <w:t xml:space="preserve"> after receipt of MFH’s and accept the referral or, alternatively, request additional information</w:t>
      </w:r>
      <w:r>
        <w:t>.</w:t>
      </w:r>
      <w:r w:rsidR="00613FBD">
        <w:t xml:space="preserve"> </w:t>
      </w:r>
      <w:r>
        <w:t xml:space="preserve">If </w:t>
      </w:r>
      <w:r w:rsidR="00A077C6">
        <w:t xml:space="preserve">a </w:t>
      </w:r>
      <w:r>
        <w:t>particular Satellite Office is unable to accept the referral</w:t>
      </w:r>
      <w:r w:rsidR="00E839B2">
        <w:t>,</w:t>
      </w:r>
      <w:r>
        <w:t xml:space="preserve"> the Satellite Office Director will consult with the DEC management </w:t>
      </w:r>
      <w:r w:rsidR="00F24D6A">
        <w:t>at H</w:t>
      </w:r>
      <w:r>
        <w:t>eadquarters to see if another Satellite Office could accept the referral.</w:t>
      </w:r>
      <w:r w:rsidR="00613FBD">
        <w:t xml:space="preserve"> </w:t>
      </w:r>
      <w:r>
        <w:t>The DEC will notify the sender whether the DEC accepts the referral and if so, which DEC office will handle the matter.</w:t>
      </w:r>
      <w:r w:rsidR="00613FBD">
        <w:t xml:space="preserve"> </w:t>
      </w:r>
      <w:r>
        <w:t xml:space="preserve">Upon receiving the DEC’s acceptance of the elective </w:t>
      </w:r>
      <w:r w:rsidRPr="00D005BD">
        <w:t>referral</w:t>
      </w:r>
      <w:r>
        <w:t xml:space="preserve"> </w:t>
      </w:r>
      <w:r w:rsidR="00F24D6A">
        <w:t xml:space="preserve">MFH </w:t>
      </w:r>
      <w:r>
        <w:t xml:space="preserve">will make the elective referral in iREMS for the referral </w:t>
      </w:r>
      <w:r w:rsidRPr="00D005BD">
        <w:t>to appear in t</w:t>
      </w:r>
      <w:r>
        <w:t>he DEC work</w:t>
      </w:r>
      <w:r w:rsidR="00A077C6">
        <w:t>load</w:t>
      </w:r>
      <w:r>
        <w:t xml:space="preserve"> queue.</w:t>
      </w:r>
      <w:r w:rsidRPr="00D005BD">
        <w:t xml:space="preserve"> </w:t>
      </w:r>
    </w:p>
    <w:p w14:paraId="0BD7FDA3" w14:textId="77777777" w:rsidR="00B57CCF" w:rsidRDefault="00B57CCF" w:rsidP="001820DF">
      <w:pPr>
        <w:pStyle w:val="HB1Outline"/>
        <w:numPr>
          <w:ilvl w:val="0"/>
          <w:numId w:val="38"/>
        </w:numPr>
      </w:pPr>
      <w:r>
        <w:t>Elective Referral Types</w:t>
      </w:r>
    </w:p>
    <w:p w14:paraId="0BD7FDA4" w14:textId="77777777" w:rsidR="00B57CCF" w:rsidRDefault="00B57CCF" w:rsidP="00F84DDE">
      <w:pPr>
        <w:pStyle w:val="HB1Text"/>
      </w:pPr>
      <w:r w:rsidRPr="00055107">
        <w:t>Within iREMS</w:t>
      </w:r>
      <w:r w:rsidR="009D44C2">
        <w:t xml:space="preserve"> </w:t>
      </w:r>
      <w:r w:rsidRPr="00055107">
        <w:t>there are fi</w:t>
      </w:r>
      <w:r>
        <w:t>ve types of elective referrals:</w:t>
      </w:r>
    </w:p>
    <w:p w14:paraId="0BD7FDA5" w14:textId="77777777" w:rsidR="00B57CCF" w:rsidRPr="0078668F" w:rsidRDefault="00B57CCF" w:rsidP="00FD4FA3">
      <w:pPr>
        <w:pStyle w:val="HBaOutline0"/>
        <w:numPr>
          <w:ilvl w:val="0"/>
          <w:numId w:val="39"/>
        </w:numPr>
      </w:pPr>
      <w:r w:rsidRPr="0078668F">
        <w:t xml:space="preserve">Physical – </w:t>
      </w:r>
      <w:r w:rsidR="00FE251E">
        <w:t>Per 24 CFR, part 200, subpart P, §200.857</w:t>
      </w:r>
      <w:r w:rsidR="003C2C7D">
        <w:t xml:space="preserve">(h), </w:t>
      </w:r>
      <w:r w:rsidRPr="0078668F">
        <w:t>MFH may elect to refer a project for poor physical condition regardless of the REAC score.</w:t>
      </w:r>
      <w:r w:rsidR="00613FBD">
        <w:t xml:space="preserve"> </w:t>
      </w:r>
    </w:p>
    <w:p w14:paraId="0BD7FDA6" w14:textId="77777777" w:rsidR="00B57CCF" w:rsidRPr="006A0A88" w:rsidRDefault="00B57CCF" w:rsidP="00FD4FA3">
      <w:pPr>
        <w:pStyle w:val="HBaOutline0"/>
        <w:numPr>
          <w:ilvl w:val="0"/>
          <w:numId w:val="39"/>
        </w:numPr>
      </w:pPr>
      <w:r w:rsidRPr="006A0A88">
        <w:t>Financial – MFH may elect to refer a project when the financial statements reveal non-compliance issues and the Account Executive seeks the DEC’s expertise and assistance.</w:t>
      </w:r>
    </w:p>
    <w:p w14:paraId="0BD7FDA7" w14:textId="77777777" w:rsidR="00B57CCF" w:rsidRPr="006A0A88" w:rsidRDefault="00B57CCF" w:rsidP="00FD4FA3">
      <w:pPr>
        <w:pStyle w:val="HBaOutline0"/>
        <w:numPr>
          <w:ilvl w:val="0"/>
          <w:numId w:val="39"/>
        </w:numPr>
      </w:pPr>
      <w:r w:rsidRPr="006A0A88">
        <w:t>Non-filer – MFH may make elective non-filer referrals in rare cases where there was a change in ownership or Tax Identification Numbers</w:t>
      </w:r>
      <w:r w:rsidR="007C78FA">
        <w:t xml:space="preserve"> (TIN)</w:t>
      </w:r>
      <w:r w:rsidRPr="006A0A88">
        <w:t xml:space="preserve"> that impacted the REAC overdue tracking schedule (which only looks back one year).</w:t>
      </w:r>
    </w:p>
    <w:p w14:paraId="0BD7FDA8" w14:textId="77777777" w:rsidR="00B57CCF" w:rsidRPr="006A0A88" w:rsidRDefault="00B57CCF" w:rsidP="00FD4FA3">
      <w:pPr>
        <w:pStyle w:val="HBaOutline0"/>
        <w:numPr>
          <w:ilvl w:val="0"/>
          <w:numId w:val="39"/>
        </w:numPr>
      </w:pPr>
      <w:r w:rsidRPr="006A0A88">
        <w:t>O</w:t>
      </w:r>
      <w:r w:rsidR="0090490A">
        <w:t xml:space="preserve">ffice of </w:t>
      </w:r>
      <w:r w:rsidRPr="006A0A88">
        <w:t>I</w:t>
      </w:r>
      <w:r w:rsidR="0090490A">
        <w:t xml:space="preserve">nspector </w:t>
      </w:r>
      <w:r w:rsidRPr="006A0A88">
        <w:t>G</w:t>
      </w:r>
      <w:r w:rsidR="0090490A">
        <w:t>eneral (OIG)</w:t>
      </w:r>
      <w:r w:rsidRPr="006A0A88">
        <w:t xml:space="preserve"> audit – MFH may make an elective referral to the DEC to assist in the resolution of </w:t>
      </w:r>
      <w:r w:rsidR="00A10CC6">
        <w:t>OIG</w:t>
      </w:r>
      <w:r w:rsidRPr="006A0A88">
        <w:t xml:space="preserve"> audit findings. </w:t>
      </w:r>
    </w:p>
    <w:p w14:paraId="0BD7FDA9" w14:textId="77777777" w:rsidR="00B57CCF" w:rsidRPr="006A0A88" w:rsidRDefault="00B57CCF" w:rsidP="00FD4FA3">
      <w:pPr>
        <w:pStyle w:val="HBaOutline0"/>
        <w:numPr>
          <w:ilvl w:val="0"/>
          <w:numId w:val="39"/>
        </w:numPr>
      </w:pPr>
      <w:r w:rsidRPr="006A0A88">
        <w:t>Other non-compliance – MFH may make elective referrals for matters that do not fall within the above categories.</w:t>
      </w:r>
      <w:r w:rsidR="00613FBD">
        <w:t xml:space="preserve"> </w:t>
      </w:r>
      <w:r w:rsidRPr="006A0A88">
        <w:t>Such “other non-compliance” referrals may be based on:</w:t>
      </w:r>
    </w:p>
    <w:p w14:paraId="0BD7FDAA" w14:textId="77777777" w:rsidR="00B57CCF" w:rsidRPr="006A0A88" w:rsidRDefault="00B57CCF" w:rsidP="00FD4FA3">
      <w:pPr>
        <w:pStyle w:val="HBiOutline"/>
        <w:numPr>
          <w:ilvl w:val="0"/>
          <w:numId w:val="40"/>
        </w:numPr>
      </w:pPr>
      <w:r w:rsidRPr="006A0A88">
        <w:t>Recommendations to take administrative action, such as a limited denial of participation (LDP), suspension or debarment from federal programs;</w:t>
      </w:r>
    </w:p>
    <w:p w14:paraId="0BD7FDAB" w14:textId="77777777" w:rsidR="00B57CCF" w:rsidRPr="006A0A88" w:rsidRDefault="00B57CCF" w:rsidP="00FD4FA3">
      <w:pPr>
        <w:pStyle w:val="HBiOutline"/>
        <w:numPr>
          <w:ilvl w:val="0"/>
          <w:numId w:val="40"/>
        </w:numPr>
      </w:pPr>
      <w:r w:rsidRPr="006A0A88">
        <w:t>An owner or manager’s violations of tenants’ rights to organize; or</w:t>
      </w:r>
    </w:p>
    <w:p w14:paraId="0BD7FDAC" w14:textId="77777777" w:rsidR="00B57CCF" w:rsidRPr="006A0A88" w:rsidRDefault="00B57CCF" w:rsidP="00FD4FA3">
      <w:pPr>
        <w:pStyle w:val="HBiOutline"/>
        <w:numPr>
          <w:ilvl w:val="0"/>
          <w:numId w:val="40"/>
        </w:numPr>
      </w:pPr>
      <w:r w:rsidRPr="006A0A88">
        <w:t xml:space="preserve">An owner’s violations of use agreement restrictions or property disposition covenants. </w:t>
      </w:r>
    </w:p>
    <w:p w14:paraId="0BD7FDAD" w14:textId="77777777" w:rsidR="00B57CCF" w:rsidRDefault="00B57CCF" w:rsidP="00F84DDE">
      <w:pPr>
        <w:pStyle w:val="HBaText0"/>
      </w:pPr>
      <w:r>
        <w:t>T</w:t>
      </w:r>
      <w:r w:rsidRPr="009A20A7">
        <w:t xml:space="preserve">he </w:t>
      </w:r>
      <w:r>
        <w:t>Account Executive</w:t>
      </w:r>
      <w:r w:rsidRPr="009A20A7">
        <w:t xml:space="preserve"> should consult with the Supervisory </w:t>
      </w:r>
      <w:r>
        <w:t xml:space="preserve">Account Executive </w:t>
      </w:r>
      <w:r w:rsidR="00A077C6">
        <w:t>or local MFH management</w:t>
      </w:r>
      <w:r w:rsidRPr="009A20A7">
        <w:t xml:space="preserve"> if there are any questions about whether an elective referral is appropriate</w:t>
      </w:r>
      <w:r>
        <w:t xml:space="preserve"> under the circumstances</w:t>
      </w:r>
      <w:r w:rsidRPr="009A20A7">
        <w:t>.</w:t>
      </w:r>
      <w:r w:rsidR="00F9291F" w:rsidRPr="00F9291F">
        <w:t xml:space="preserve"> </w:t>
      </w:r>
      <w:r w:rsidR="00171918">
        <w:t>See Chapter 9 for a discussion of non-compliance with civil rights statutes and program requirements and the protocol for coordination between MFH and FHEO on such issues</w:t>
      </w:r>
      <w:r w:rsidR="009D44C2">
        <w:t>.</w:t>
      </w:r>
      <w:r w:rsidR="00F9291F">
        <w:t xml:space="preserve"> </w:t>
      </w:r>
    </w:p>
    <w:p w14:paraId="0BD7FDAE" w14:textId="77777777" w:rsidR="00B57CCF" w:rsidRDefault="00B57CCF" w:rsidP="001820DF">
      <w:pPr>
        <w:pStyle w:val="HB1Outline"/>
      </w:pPr>
      <w:r w:rsidRPr="00F46ADD">
        <w:t>Teamwork and Collaboration</w:t>
      </w:r>
    </w:p>
    <w:p w14:paraId="0BD7FDAF" w14:textId="77777777" w:rsidR="00B57CCF" w:rsidRDefault="00B57CCF" w:rsidP="00F02727">
      <w:pPr>
        <w:pStyle w:val="level5text"/>
      </w:pPr>
      <w:r>
        <w:t>It is critical that DEC Analysts and Account Executives communicate with each</w:t>
      </w:r>
      <w:r w:rsidR="007C78FA">
        <w:t xml:space="preserve"> </w:t>
      </w:r>
      <w:r>
        <w:t>other throughout the DEC’s handling of the project referral.</w:t>
      </w:r>
      <w:r w:rsidR="004245B7">
        <w:t xml:space="preserve">  Depending upon the matter, DEC Analysts may need to make regular contacts with an assigned Account Executive for information and documentation, while other referrals may require less interaction.  Similarly, depending upon the complexity of the asset management servicing, an</w:t>
      </w:r>
      <w:r w:rsidR="001C7314">
        <w:t xml:space="preserve"> </w:t>
      </w:r>
      <w:r w:rsidR="004245B7">
        <w:t>Account Executive may need to have regular communications with the assigned DEC Analyst.  The frequency of these communications should be guided by the level of asset management and DEC analysis required to resolve a particular matter.</w:t>
      </w:r>
    </w:p>
    <w:p w14:paraId="0BD7FDB0" w14:textId="77777777" w:rsidR="00B57CCF" w:rsidRPr="00F46ADD" w:rsidRDefault="00B57CCF" w:rsidP="00F31A67">
      <w:pPr>
        <w:pStyle w:val="HBiOutline"/>
        <w:numPr>
          <w:ilvl w:val="0"/>
          <w:numId w:val="0"/>
        </w:numPr>
        <w:ind w:left="2160"/>
      </w:pPr>
    </w:p>
    <w:p w14:paraId="0BD7FDB1" w14:textId="77777777" w:rsidR="00B57CCF" w:rsidRDefault="00B57CCF" w:rsidP="001820DF">
      <w:pPr>
        <w:pStyle w:val="HB1Outline"/>
      </w:pPr>
      <w:r>
        <w:t>Responsibilities</w:t>
      </w:r>
    </w:p>
    <w:p w14:paraId="0BD7FDB2" w14:textId="77777777" w:rsidR="00B57CCF" w:rsidRDefault="00B57CCF" w:rsidP="00F84DDE">
      <w:pPr>
        <w:pStyle w:val="HB1Text"/>
      </w:pPr>
      <w:r w:rsidRPr="00E40B6D">
        <w:t xml:space="preserve">The </w:t>
      </w:r>
      <w:r>
        <w:t>Account Executive</w:t>
      </w:r>
      <w:r w:rsidRPr="00E40B6D">
        <w:t xml:space="preserve"> and t</w:t>
      </w:r>
      <w:r>
        <w:t xml:space="preserve">he DEC </w:t>
      </w:r>
      <w:r w:rsidRPr="00E40B6D">
        <w:t>Analyst will collaborate on the strategy for handling the non-compliance issues of a project.</w:t>
      </w:r>
      <w:r w:rsidR="00613FBD">
        <w:t xml:space="preserve"> </w:t>
      </w:r>
      <w:r w:rsidRPr="00E40B6D">
        <w:t>Working as a team</w:t>
      </w:r>
      <w:r>
        <w:t>,</w:t>
      </w:r>
      <w:r w:rsidRPr="00E40B6D">
        <w:t xml:space="preserve"> the </w:t>
      </w:r>
      <w:r>
        <w:t>Account Executive</w:t>
      </w:r>
      <w:r w:rsidRPr="00E40B6D">
        <w:t xml:space="preserve"> and DEC Analyst will communicate with each other about the significant issues that arise while a DEC referral is under evaluation.</w:t>
      </w:r>
      <w:r w:rsidR="00613FBD">
        <w:t xml:space="preserve"> </w:t>
      </w:r>
    </w:p>
    <w:p w14:paraId="0BD7FDB3" w14:textId="77777777" w:rsidR="008920A1" w:rsidRDefault="008920A1" w:rsidP="00F84DDE">
      <w:pPr>
        <w:pStyle w:val="HB1Text"/>
      </w:pPr>
    </w:p>
    <w:p w14:paraId="0BD7FDB4" w14:textId="77777777" w:rsidR="008920A1" w:rsidRDefault="008920A1" w:rsidP="00F84DDE">
      <w:pPr>
        <w:pStyle w:val="HB1Text"/>
      </w:pPr>
    </w:p>
    <w:p w14:paraId="0BD7FDB5" w14:textId="77777777" w:rsidR="008920A1" w:rsidRDefault="008920A1" w:rsidP="00F84DDE">
      <w:pPr>
        <w:pStyle w:val="HB1Text"/>
      </w:pPr>
    </w:p>
    <w:p w14:paraId="0BD7FDB6" w14:textId="77777777" w:rsidR="00B57CCF" w:rsidRDefault="00B57CCF" w:rsidP="00FD4FA3">
      <w:pPr>
        <w:pStyle w:val="HBaOutline0"/>
        <w:numPr>
          <w:ilvl w:val="0"/>
          <w:numId w:val="44"/>
        </w:numPr>
      </w:pPr>
      <w:r>
        <w:t>Account Executive’s Responsibilities:</w:t>
      </w:r>
    </w:p>
    <w:p w14:paraId="0BD7FDB7" w14:textId="77777777" w:rsidR="00B57CCF" w:rsidRPr="0007302E" w:rsidRDefault="00B57CCF" w:rsidP="00FD4FA3">
      <w:pPr>
        <w:pStyle w:val="HBiOutline"/>
        <w:numPr>
          <w:ilvl w:val="0"/>
          <w:numId w:val="45"/>
        </w:numPr>
      </w:pPr>
      <w:r w:rsidRPr="0007302E">
        <w:t xml:space="preserve">The Account Executive is responsible for maintaining iREMS data entries to assure accurate information </w:t>
      </w:r>
      <w:r w:rsidR="007C78FA">
        <w:t>related</w:t>
      </w:r>
      <w:r w:rsidR="007C78FA" w:rsidRPr="0007302E">
        <w:t xml:space="preserve"> </w:t>
      </w:r>
      <w:r w:rsidRPr="0007302E">
        <w:t>to the project, its owner, management and representatives.</w:t>
      </w:r>
      <w:r w:rsidR="00613FBD">
        <w:t xml:space="preserve"> </w:t>
      </w:r>
    </w:p>
    <w:p w14:paraId="0BD7FDB8" w14:textId="77777777" w:rsidR="00B57CCF" w:rsidRPr="0007302E" w:rsidRDefault="00B57CCF" w:rsidP="00F84DDE">
      <w:pPr>
        <w:pStyle w:val="HBiOutline"/>
      </w:pPr>
      <w:r w:rsidRPr="0007302E">
        <w:t xml:space="preserve">The Account Executive is responsible for providing the DEC Analyst with relevant documentation (electronic or paper versions), maintaining communications, and alerting the DEC </w:t>
      </w:r>
      <w:r w:rsidR="007C78FA">
        <w:t>A</w:t>
      </w:r>
      <w:r w:rsidRPr="0007302E">
        <w:t>nalyst to any owner request for servicing actions.</w:t>
      </w:r>
      <w:r w:rsidR="00613FBD">
        <w:t xml:space="preserve"> </w:t>
      </w:r>
    </w:p>
    <w:p w14:paraId="0BD7FDB9" w14:textId="77777777" w:rsidR="00B57CCF" w:rsidRPr="0007302E" w:rsidRDefault="004245B7" w:rsidP="00F84DDE">
      <w:pPr>
        <w:pStyle w:val="HBiOutline"/>
      </w:pPr>
      <w:r>
        <w:t>Pursuant to current MFH policy guidance, t</w:t>
      </w:r>
      <w:r w:rsidRPr="0007302E">
        <w:t xml:space="preserve">he </w:t>
      </w:r>
      <w:r w:rsidR="00B57CCF" w:rsidRPr="0007302E">
        <w:t>Account Executive will flag the owner in the A</w:t>
      </w:r>
      <w:r w:rsidR="0090490A">
        <w:t xml:space="preserve">ctive </w:t>
      </w:r>
      <w:r w:rsidR="00B57CCF" w:rsidRPr="0007302E">
        <w:t>P</w:t>
      </w:r>
      <w:r w:rsidR="0090490A">
        <w:t xml:space="preserve">artners </w:t>
      </w:r>
      <w:r w:rsidR="00B57CCF" w:rsidRPr="0007302E">
        <w:t>P</w:t>
      </w:r>
      <w:r w:rsidR="0090490A">
        <w:t xml:space="preserve">erformance </w:t>
      </w:r>
      <w:r w:rsidR="00B57CCF" w:rsidRPr="0007302E">
        <w:t>S</w:t>
      </w:r>
      <w:r w:rsidR="0090490A">
        <w:t>ystem (APPS)</w:t>
      </w:r>
      <w:r w:rsidR="00B57CCF" w:rsidRPr="0007302E">
        <w:t xml:space="preserve"> when making an elective referral to the DEC.</w:t>
      </w:r>
    </w:p>
    <w:p w14:paraId="0BD7FDBA" w14:textId="77777777" w:rsidR="00B57CCF" w:rsidRPr="0007302E" w:rsidRDefault="00B57CCF" w:rsidP="00F84DDE">
      <w:pPr>
        <w:pStyle w:val="HBiOutline"/>
      </w:pPr>
      <w:r w:rsidRPr="0007302E">
        <w:t>While the DEC is handling the matter, the Account Executive still retains responsibility for the project with respect to routine servicing matters, such as handling tenant complaints, owner requests for release of reserves or residual receipts, and rent adjustments or other matters involving routine asset management functions.</w:t>
      </w:r>
      <w:r w:rsidR="00613FBD">
        <w:t xml:space="preserve"> </w:t>
      </w:r>
    </w:p>
    <w:p w14:paraId="0BD7FDBB" w14:textId="77777777" w:rsidR="00B57CCF" w:rsidRPr="0007302E" w:rsidRDefault="00B57CCF" w:rsidP="00F84DDE">
      <w:pPr>
        <w:pStyle w:val="HBiOutline"/>
      </w:pPr>
      <w:r w:rsidRPr="0007302E">
        <w:t xml:space="preserve">The Account Executive will notify the DEC Analyst of pending servicing activities, such as rent increase requests, Reserve </w:t>
      </w:r>
      <w:r w:rsidR="005B6E87">
        <w:t>for</w:t>
      </w:r>
      <w:r w:rsidR="005B6E87" w:rsidRPr="005B6E87">
        <w:t xml:space="preserve"> </w:t>
      </w:r>
      <w:r w:rsidR="005B6E87" w:rsidRPr="0007302E">
        <w:t>Replacement</w:t>
      </w:r>
      <w:r w:rsidR="005B6E87">
        <w:t>s</w:t>
      </w:r>
      <w:r w:rsidR="005B6E87" w:rsidRPr="0007302E">
        <w:t xml:space="preserve"> </w:t>
      </w:r>
      <w:r w:rsidRPr="0007302E">
        <w:t>releases, management reviews, or H</w:t>
      </w:r>
      <w:r w:rsidR="0090490A">
        <w:t xml:space="preserve">ousing </w:t>
      </w:r>
      <w:r w:rsidRPr="0007302E">
        <w:t>A</w:t>
      </w:r>
      <w:r w:rsidR="0090490A">
        <w:t xml:space="preserve">ssistance </w:t>
      </w:r>
      <w:r w:rsidRPr="0007302E">
        <w:t>P</w:t>
      </w:r>
      <w:r w:rsidR="0090490A">
        <w:t>ayments (HAP)</w:t>
      </w:r>
      <w:r w:rsidRPr="0007302E">
        <w:t xml:space="preserve"> Contract renewals, which require HUD approval.</w:t>
      </w:r>
      <w:r w:rsidR="00613FBD">
        <w:t xml:space="preserve"> </w:t>
      </w:r>
      <w:r w:rsidR="00F6065D">
        <w:t>Certain requests from program participants (e.g., TPAs, refinancing applications, HAP contract assignments) present unique opportunities to obtain compliance.  Account Executives should advise the DEC when such requests are made, and work with the DEC to obtain compliance prior to approval of the requested action.</w:t>
      </w:r>
    </w:p>
    <w:p w14:paraId="0BD7FDBC" w14:textId="76944A21" w:rsidR="00B57CCF" w:rsidRDefault="00B57CCF" w:rsidP="00802A85">
      <w:pPr>
        <w:pStyle w:val="HBaOutline0"/>
      </w:pPr>
      <w:r>
        <w:t>DEC Analyst’s Responsibilities:</w:t>
      </w:r>
    </w:p>
    <w:p w14:paraId="0BD7FDBD" w14:textId="7C0EB4FA" w:rsidR="00B57CCF" w:rsidRPr="0007302E" w:rsidRDefault="00B57CCF" w:rsidP="00FD4FA3">
      <w:pPr>
        <w:pStyle w:val="HBiOutline"/>
        <w:numPr>
          <w:ilvl w:val="0"/>
          <w:numId w:val="46"/>
        </w:numPr>
      </w:pPr>
      <w:r w:rsidRPr="0007302E">
        <w:t xml:space="preserve">The DEC Analyst is also responsible for maintaining iREMS data entries to assure accurate information </w:t>
      </w:r>
      <w:r w:rsidR="001D4A1A">
        <w:t>related</w:t>
      </w:r>
      <w:r w:rsidR="001D4A1A" w:rsidRPr="0007302E">
        <w:t xml:space="preserve"> </w:t>
      </w:r>
      <w:r w:rsidRPr="0007302E">
        <w:t>to the project, its owner, management and representatives.</w:t>
      </w:r>
    </w:p>
    <w:p w14:paraId="0BD7FDBE" w14:textId="77777777" w:rsidR="00B57CCF" w:rsidRPr="0007302E" w:rsidRDefault="00B57CCF" w:rsidP="00802A85">
      <w:pPr>
        <w:pStyle w:val="HBiOutline"/>
      </w:pPr>
      <w:r w:rsidRPr="0007302E">
        <w:t xml:space="preserve">The DEC Analyst is responsible for providing the Account Executive with copies of all correspondence (initiated or received) </w:t>
      </w:r>
      <w:r w:rsidR="001D4A1A">
        <w:t>related</w:t>
      </w:r>
      <w:r w:rsidR="001D4A1A" w:rsidRPr="0007302E">
        <w:t xml:space="preserve"> </w:t>
      </w:r>
      <w:r w:rsidRPr="0007302E">
        <w:t>to the project’s referral.</w:t>
      </w:r>
    </w:p>
    <w:p w14:paraId="0BD7FDBF" w14:textId="77777777" w:rsidR="00B57CCF" w:rsidRPr="0007302E" w:rsidRDefault="00B57CCF" w:rsidP="00802A85">
      <w:pPr>
        <w:pStyle w:val="HBiOutline"/>
      </w:pPr>
      <w:r w:rsidRPr="0007302E">
        <w:t>The DEC Analyst is responsible for communicating with the Account Executive concerning appropriate strategies and enforcement remedies.</w:t>
      </w:r>
      <w:r w:rsidR="00613FBD">
        <w:t xml:space="preserve"> </w:t>
      </w:r>
    </w:p>
    <w:p w14:paraId="0BD7FDC0" w14:textId="77777777" w:rsidR="00B57CCF" w:rsidRDefault="00B57CCF" w:rsidP="00802A85">
      <w:pPr>
        <w:pStyle w:val="HBiOutline"/>
      </w:pPr>
      <w:r w:rsidRPr="0007302E">
        <w:t>The DEC Analyst is responsible for providing the Account Executive with written close out information, such as memoranda, email, or notations in the iREMS problem statement.</w:t>
      </w:r>
    </w:p>
    <w:p w14:paraId="0BD7FDC1" w14:textId="77777777" w:rsidR="00B57CCF" w:rsidRDefault="00B57CCF" w:rsidP="001820DF">
      <w:pPr>
        <w:pStyle w:val="HBAOutline"/>
      </w:pPr>
      <w:bookmarkStart w:id="5" w:name="_Toc410134262"/>
      <w:r w:rsidRPr="0053021E">
        <w:t>DEC Analys</w:t>
      </w:r>
      <w:r>
        <w:t>e</w:t>
      </w:r>
      <w:r w:rsidRPr="0053021E">
        <w:t>s, Recommendations and Actions</w:t>
      </w:r>
      <w:bookmarkEnd w:id="5"/>
    </w:p>
    <w:p w14:paraId="0BD7FDC2" w14:textId="77777777" w:rsidR="00802A85" w:rsidRDefault="00802A85" w:rsidP="001820DF">
      <w:pPr>
        <w:pStyle w:val="HB1Outline"/>
        <w:numPr>
          <w:ilvl w:val="0"/>
          <w:numId w:val="47"/>
        </w:numPr>
      </w:pPr>
      <w:r>
        <w:t xml:space="preserve">In handling referrals, the DEC Analysts review the facts and validate or invalidate the flags that triggered the referral. They may also discover other issues that raise compliance questions. Analysts consider whether the owner’s questionable acts or omissions violate statutory, regulatory and business </w:t>
      </w:r>
      <w:r w:rsidR="00552C81">
        <w:t xml:space="preserve">agreement </w:t>
      </w:r>
      <w:r>
        <w:t xml:space="preserve">requirements. Some analyses are straightforward whereas others can be quite complicated. </w:t>
      </w:r>
    </w:p>
    <w:p w14:paraId="0BD7FDC3" w14:textId="77777777" w:rsidR="00802A85" w:rsidRDefault="00802A85">
      <w:pPr>
        <w:pStyle w:val="HB1Outline"/>
        <w:rPr>
          <w:rFonts w:eastAsia="MS Mincho"/>
        </w:rPr>
      </w:pPr>
      <w:r>
        <w:rPr>
          <w:rFonts w:eastAsia="MS Mincho"/>
        </w:rPr>
        <w:t xml:space="preserve">Upon receiving the referral, the DEC Analyst will analyze the facts to determine if the </w:t>
      </w:r>
      <w:r w:rsidRPr="00541547">
        <w:rPr>
          <w:rFonts w:eastAsia="MS Mincho"/>
        </w:rPr>
        <w:t>program participants comply with applicable laws, regulations, and business agreements.</w:t>
      </w:r>
      <w:r>
        <w:rPr>
          <w:rFonts w:eastAsia="MS Mincho"/>
        </w:rPr>
        <w:t xml:space="preserve"> Analysts do so,</w:t>
      </w:r>
      <w:r w:rsidRPr="00541547">
        <w:rPr>
          <w:rFonts w:eastAsia="MS Mincho"/>
        </w:rPr>
        <w:t xml:space="preserve"> in part, by </w:t>
      </w:r>
      <w:r>
        <w:rPr>
          <w:rFonts w:eastAsia="MS Mincho"/>
        </w:rPr>
        <w:t>considering</w:t>
      </w:r>
      <w:r w:rsidRPr="00541547">
        <w:rPr>
          <w:rFonts w:eastAsia="MS Mincho"/>
        </w:rPr>
        <w:t xml:space="preserve"> applicable regulations, notices, and business agreements</w:t>
      </w:r>
      <w:r>
        <w:rPr>
          <w:rFonts w:eastAsia="MS Mincho"/>
        </w:rPr>
        <w:t xml:space="preserve">. They also </w:t>
      </w:r>
      <w:r w:rsidRPr="00541547">
        <w:rPr>
          <w:rFonts w:eastAsia="MS Mincho"/>
        </w:rPr>
        <w:t>review and analy</w:t>
      </w:r>
      <w:r>
        <w:rPr>
          <w:rFonts w:eastAsia="MS Mincho"/>
        </w:rPr>
        <w:t>ze</w:t>
      </w:r>
      <w:r w:rsidRPr="00541547">
        <w:rPr>
          <w:rFonts w:eastAsia="MS Mincho"/>
        </w:rPr>
        <w:t xml:space="preserve"> physical inspection reports, occupancy reviews, management reviews, </w:t>
      </w:r>
      <w:r>
        <w:rPr>
          <w:rFonts w:eastAsia="MS Mincho"/>
        </w:rPr>
        <w:t>AFSs</w:t>
      </w:r>
      <w:r w:rsidRPr="00541547">
        <w:rPr>
          <w:rFonts w:eastAsia="MS Mincho"/>
        </w:rPr>
        <w:t xml:space="preserve">, monthly accounting reports, </w:t>
      </w:r>
      <w:r>
        <w:rPr>
          <w:rFonts w:eastAsia="MS Mincho"/>
        </w:rPr>
        <w:t>audit reports, and all other pertinent documents in the Administrative Record.</w:t>
      </w:r>
    </w:p>
    <w:p w14:paraId="0BD7FDC4" w14:textId="77777777" w:rsidR="00802A85" w:rsidRPr="00802A85" w:rsidRDefault="00802A85">
      <w:pPr>
        <w:pStyle w:val="HB1Outline"/>
        <w:rPr>
          <w:rFonts w:cs="Times New Roman"/>
        </w:rPr>
      </w:pPr>
      <w:r>
        <w:t xml:space="preserve">Analysts will check iREMS for information and will initiate their analyses based on iREMS data. Accurate iREMS data is necessary to assure efficient review and analysis. If certain iREMS data fields are not accurate, DEC Analysts may spend significant time on the matter </w:t>
      </w:r>
      <w:r w:rsidRPr="00802A85">
        <w:rPr>
          <w:rFonts w:cs="Times New Roman"/>
        </w:rPr>
        <w:t>before discovering the error. Some examples of such critical iREMS data fields include:</w:t>
      </w:r>
    </w:p>
    <w:p w14:paraId="0BD7FDC5" w14:textId="77777777" w:rsidR="00B57CCF" w:rsidRDefault="00B57CCF" w:rsidP="00FD4FA3">
      <w:pPr>
        <w:pStyle w:val="HBaOutline0"/>
        <w:numPr>
          <w:ilvl w:val="0"/>
          <w:numId w:val="48"/>
        </w:numPr>
      </w:pPr>
      <w:r>
        <w:t>The “</w:t>
      </w:r>
      <w:r w:rsidRPr="00802A85">
        <w:rPr>
          <w:i/>
        </w:rPr>
        <w:t>Financial Statement Required” indicator</w:t>
      </w:r>
      <w:r>
        <w:t xml:space="preserve"> on the </w:t>
      </w:r>
      <w:r w:rsidR="00552C81">
        <w:t>Owner Detail</w:t>
      </w:r>
      <w:r>
        <w:t xml:space="preserve"> screen. </w:t>
      </w:r>
      <w:r w:rsidR="00D811DA">
        <w:t xml:space="preserve"> </w:t>
      </w:r>
      <w:r>
        <w:t xml:space="preserve">An inaccurate entry (“yes” when an </w:t>
      </w:r>
      <w:r w:rsidR="00B51031">
        <w:t>A</w:t>
      </w:r>
      <w:r>
        <w:t>FS is not required) will trigger an erroneous referral.</w:t>
      </w:r>
      <w:r w:rsidR="00613FBD">
        <w:t xml:space="preserve"> </w:t>
      </w:r>
    </w:p>
    <w:p w14:paraId="0BD7FDC6" w14:textId="77777777" w:rsidR="00B57CCF" w:rsidRPr="00E50BAE" w:rsidRDefault="00B57CCF" w:rsidP="00802A85">
      <w:pPr>
        <w:pStyle w:val="HBaOutline0"/>
      </w:pPr>
      <w:r>
        <w:t xml:space="preserve">The </w:t>
      </w:r>
      <w:r w:rsidRPr="00FB7EB5">
        <w:rPr>
          <w:i/>
        </w:rPr>
        <w:t>“Date Owner Assumed Financial Responsibility”</w:t>
      </w:r>
      <w:r>
        <w:t xml:space="preserve"> and </w:t>
      </w:r>
      <w:r w:rsidRPr="00FB7EB5">
        <w:rPr>
          <w:i/>
        </w:rPr>
        <w:t>“Cost Certification Cut Off Date”</w:t>
      </w:r>
      <w:r>
        <w:t xml:space="preserve"> may impact whether an owner is responsible for filing an AFS for a particular period of time.</w:t>
      </w:r>
      <w:r w:rsidR="00613FBD">
        <w:t xml:space="preserve"> </w:t>
      </w:r>
      <w:r>
        <w:t>Account Executives should note the date of a transfer of ownership in iREMS in a narrative statement as well as in date format.</w:t>
      </w:r>
      <w:r w:rsidR="00613FBD">
        <w:t xml:space="preserve"> </w:t>
      </w:r>
      <w:r>
        <w:t xml:space="preserve">This is especially critical in situations involving a </w:t>
      </w:r>
      <w:r w:rsidR="002771D4">
        <w:t>TPA</w:t>
      </w:r>
      <w:r>
        <w:t xml:space="preserve"> and a new substantial rehabilitation loan.</w:t>
      </w:r>
      <w:r w:rsidR="00613FBD">
        <w:t xml:space="preserve"> </w:t>
      </w:r>
      <w:r>
        <w:t>In such cases the “Date Owner Assumed Financial Responsibility” for the new owner will be the day after cost certification cutoff rather than the day of ownership transfer.</w:t>
      </w:r>
      <w:r w:rsidR="00613FBD">
        <w:t xml:space="preserve"> </w:t>
      </w:r>
      <w:r>
        <w:t>Unfortunately, when the Account Executive enters the “new” owner’s “Date Owner Assumed Financial Responsibility” into iREMS (the day after cost certification cutoff), the iREMS overrides the former owner’s dates of ownership and extends those dates to the day of cost certification cutoff for the new owner.</w:t>
      </w:r>
      <w:r w:rsidR="00613FBD">
        <w:t xml:space="preserve"> </w:t>
      </w:r>
      <w:r>
        <w:t>This system extension of time will trigger false non-filer referrals for the former owner unless the AFS required indicator is turned to “no” at that time.</w:t>
      </w:r>
      <w:r w:rsidR="00613FBD">
        <w:t xml:space="preserve"> </w:t>
      </w:r>
    </w:p>
    <w:p w14:paraId="0BD7FDC7" w14:textId="77777777" w:rsidR="00B57CCF" w:rsidRPr="00FB7EB5" w:rsidRDefault="00B57CCF" w:rsidP="00802A85">
      <w:pPr>
        <w:pStyle w:val="HBaOutline0"/>
        <w:rPr>
          <w:i/>
        </w:rPr>
      </w:pPr>
      <w:r>
        <w:t xml:space="preserve">All dates and amounts the Account Executive approves for changes in </w:t>
      </w:r>
      <w:r w:rsidRPr="00F02727">
        <w:t>Reserve for Replacement</w:t>
      </w:r>
      <w:r w:rsidR="005B6E87">
        <w:t>s</w:t>
      </w:r>
      <w:r w:rsidR="00F02727">
        <w:t xml:space="preserve"> (RfR) </w:t>
      </w:r>
      <w:r w:rsidRPr="00F02727">
        <w:t>deposits</w:t>
      </w:r>
      <w:r w:rsidRPr="00FB7EB5">
        <w:rPr>
          <w:i/>
        </w:rPr>
        <w:t>.</w:t>
      </w:r>
    </w:p>
    <w:p w14:paraId="0BD7FDC8" w14:textId="77777777" w:rsidR="00B57CCF" w:rsidRPr="00FB7EB5" w:rsidRDefault="00B57CCF" w:rsidP="00802A85">
      <w:pPr>
        <w:pStyle w:val="HBaOutline0"/>
      </w:pPr>
      <w:r>
        <w:t xml:space="preserve">All dates and amounts the Account Executive approves for </w:t>
      </w:r>
      <w:r w:rsidRPr="00FB7EB5">
        <w:t xml:space="preserve">withdrawals from the </w:t>
      </w:r>
      <w:r w:rsidR="00F02727">
        <w:t xml:space="preserve">RfR </w:t>
      </w:r>
      <w:r w:rsidRPr="00FB7EB5">
        <w:t>or Residual Receipts accounts.</w:t>
      </w:r>
    </w:p>
    <w:p w14:paraId="0BD7FDC9" w14:textId="77777777" w:rsidR="00B57CCF" w:rsidRDefault="00B57CCF" w:rsidP="00802A85">
      <w:pPr>
        <w:pStyle w:val="HBaOutline0"/>
      </w:pPr>
      <w:r>
        <w:t xml:space="preserve">All dates and amounts reflecting changes in </w:t>
      </w:r>
      <w:r w:rsidRPr="00FB7EB5">
        <w:rPr>
          <w:i/>
        </w:rPr>
        <w:t>management fee approvals</w:t>
      </w:r>
      <w:r>
        <w:t>.</w:t>
      </w:r>
      <w:r w:rsidR="00613FBD">
        <w:t xml:space="preserve"> </w:t>
      </w:r>
    </w:p>
    <w:p w14:paraId="0BD7FDCA" w14:textId="77777777" w:rsidR="00B57CCF" w:rsidRDefault="00B57CCF" w:rsidP="001820DF">
      <w:pPr>
        <w:pStyle w:val="HB1Outline"/>
        <w:rPr>
          <w:rFonts w:eastAsia="MS Mincho"/>
        </w:rPr>
      </w:pPr>
      <w:r>
        <w:rPr>
          <w:rFonts w:eastAsia="MS Mincho"/>
        </w:rPr>
        <w:t xml:space="preserve">As part of the fact finding process, the DEC Analyst may contact the owner, </w:t>
      </w:r>
      <w:r w:rsidRPr="00541547">
        <w:rPr>
          <w:rFonts w:eastAsia="MS Mincho"/>
        </w:rPr>
        <w:t>on-site management</w:t>
      </w:r>
      <w:r>
        <w:rPr>
          <w:rFonts w:eastAsia="MS Mincho"/>
        </w:rPr>
        <w:t xml:space="preserve"> agent/company, or accountants to discuss the issues presented by the referral</w:t>
      </w:r>
      <w:r w:rsidRPr="00541547">
        <w:rPr>
          <w:rFonts w:eastAsia="MS Mincho"/>
        </w:rPr>
        <w:t>.</w:t>
      </w:r>
      <w:r w:rsidR="00613FBD">
        <w:rPr>
          <w:rFonts w:eastAsia="MS Mincho"/>
        </w:rPr>
        <w:t xml:space="preserve"> </w:t>
      </w:r>
      <w:r>
        <w:rPr>
          <w:rFonts w:eastAsia="MS Mincho"/>
        </w:rPr>
        <w:t>The owner or owner’s representative may provide answers to the DEC’s questions and the matter may be quickly resolved</w:t>
      </w:r>
      <w:r w:rsidR="00246CDA">
        <w:rPr>
          <w:rFonts w:eastAsia="MS Mincho"/>
        </w:rPr>
        <w:t>; however, o</w:t>
      </w:r>
      <w:r>
        <w:rPr>
          <w:rFonts w:eastAsia="MS Mincho"/>
        </w:rPr>
        <w:t xml:space="preserve">n other occasions, especially those </w:t>
      </w:r>
      <w:r w:rsidR="00246CDA">
        <w:rPr>
          <w:rFonts w:eastAsia="MS Mincho"/>
        </w:rPr>
        <w:t xml:space="preserve">which </w:t>
      </w:r>
      <w:r>
        <w:rPr>
          <w:rFonts w:eastAsia="MS Mincho"/>
        </w:rPr>
        <w:t>involv</w:t>
      </w:r>
      <w:r w:rsidR="00246CDA">
        <w:rPr>
          <w:rFonts w:eastAsia="MS Mincho"/>
        </w:rPr>
        <w:t>e</w:t>
      </w:r>
      <w:r>
        <w:rPr>
          <w:rFonts w:eastAsia="MS Mincho"/>
        </w:rPr>
        <w:t xml:space="preserve"> complicated financial statement reviews, the DEC </w:t>
      </w:r>
      <w:r w:rsidR="00CD2DF6">
        <w:rPr>
          <w:rFonts w:eastAsia="MS Mincho"/>
        </w:rPr>
        <w:t>A</w:t>
      </w:r>
      <w:r>
        <w:rPr>
          <w:rFonts w:eastAsia="MS Mincho"/>
        </w:rPr>
        <w:t>nalyst may ask the owner to respond to specific questions about particular accounts.</w:t>
      </w:r>
      <w:r w:rsidR="00613FBD">
        <w:rPr>
          <w:rFonts w:eastAsia="MS Mincho"/>
        </w:rPr>
        <w:t xml:space="preserve"> </w:t>
      </w:r>
      <w:r>
        <w:rPr>
          <w:rFonts w:eastAsia="MS Mincho"/>
        </w:rPr>
        <w:t>Such letters are called “30</w:t>
      </w:r>
      <w:r w:rsidR="00563B89">
        <w:rPr>
          <w:rFonts w:eastAsia="MS Mincho"/>
        </w:rPr>
        <w:t>-</w:t>
      </w:r>
      <w:r>
        <w:rPr>
          <w:rFonts w:eastAsia="MS Mincho"/>
        </w:rPr>
        <w:t>day letters” because the DEC usually provides the owner with 30 days to respond.</w:t>
      </w:r>
      <w:r w:rsidR="00613FBD">
        <w:rPr>
          <w:rFonts w:eastAsia="MS Mincho"/>
        </w:rPr>
        <w:t xml:space="preserve"> </w:t>
      </w:r>
    </w:p>
    <w:p w14:paraId="0BD7FDCB" w14:textId="77777777" w:rsidR="00B57CCF" w:rsidRDefault="00B57CCF">
      <w:pPr>
        <w:pStyle w:val="HB1Outline"/>
      </w:pPr>
      <w:r w:rsidRPr="006F44F6">
        <w:t>DEC Recommendations</w:t>
      </w:r>
      <w:r>
        <w:t xml:space="preserve"> and Actions</w:t>
      </w:r>
    </w:p>
    <w:p w14:paraId="0BD7FDCC" w14:textId="77777777" w:rsidR="00802A85" w:rsidRDefault="00B57CCF" w:rsidP="00F02727">
      <w:pPr>
        <w:pStyle w:val="level5text"/>
      </w:pPr>
      <w:r>
        <w:t>Based on the results of the DEC Analyst’s analysis, the DEC may recommend closing the referral or suggest an enforcement strategy.</w:t>
      </w:r>
      <w:r w:rsidR="00613FBD">
        <w:t xml:space="preserve"> </w:t>
      </w:r>
    </w:p>
    <w:p w14:paraId="0BD7FDCD" w14:textId="77777777" w:rsidR="00802A85" w:rsidRDefault="009042AF" w:rsidP="00FD4FA3">
      <w:pPr>
        <w:pStyle w:val="HBaOutline0"/>
        <w:numPr>
          <w:ilvl w:val="0"/>
          <w:numId w:val="49"/>
        </w:numPr>
      </w:pPr>
      <w:r>
        <w:t>Per 24 CFR, part 200, subpart P, §200.857(i), t</w:t>
      </w:r>
      <w:r w:rsidR="00B57CCF">
        <w:t>he DEC takes enforcement actions to gain compliance and/or penalties or to exclude irresponsible persons from participating in HUD programs.</w:t>
      </w:r>
      <w:r w:rsidR="00613FBD">
        <w:t xml:space="preserve"> </w:t>
      </w:r>
      <w:r w:rsidR="00B57CCF">
        <w:t xml:space="preserve">In closing financial referrals, the DEC usually provides </w:t>
      </w:r>
      <w:r w:rsidR="00563B89">
        <w:t>MFH</w:t>
      </w:r>
      <w:r w:rsidR="00B57CCF">
        <w:t xml:space="preserve"> with a report of the issues raised in the financial statements and the resolution of those issues.</w:t>
      </w:r>
      <w:r w:rsidR="00613FBD">
        <w:t xml:space="preserve"> </w:t>
      </w:r>
    </w:p>
    <w:p w14:paraId="0BD7FDCE" w14:textId="77777777" w:rsidR="00802A85" w:rsidRDefault="00B57CCF" w:rsidP="00FD4FA3">
      <w:pPr>
        <w:pStyle w:val="HBaOutline0"/>
        <w:numPr>
          <w:ilvl w:val="0"/>
          <w:numId w:val="49"/>
        </w:numPr>
      </w:pPr>
      <w:r>
        <w:t>The DEC issues warning or cautionary letters to owners, advising them of non-compliance matters.</w:t>
      </w:r>
      <w:r w:rsidR="00613FBD">
        <w:t xml:space="preserve"> </w:t>
      </w:r>
    </w:p>
    <w:p w14:paraId="0BD7FDCF" w14:textId="77777777" w:rsidR="00B57CCF" w:rsidRDefault="00B57CCF" w:rsidP="00FD4FA3">
      <w:pPr>
        <w:pStyle w:val="HBaOutline0"/>
        <w:numPr>
          <w:ilvl w:val="0"/>
          <w:numId w:val="49"/>
        </w:numPr>
      </w:pPr>
      <w:r>
        <w:t>The DEC warns owners to take corrective action to avoid repeat referrals.</w:t>
      </w:r>
      <w:r w:rsidR="00613FBD">
        <w:t xml:space="preserve"> </w:t>
      </w:r>
      <w:r>
        <w:t>Such letters become part of the Administrative Record.</w:t>
      </w:r>
      <w:r w:rsidR="00613FBD">
        <w:t xml:space="preserve"> </w:t>
      </w:r>
      <w:r>
        <w:t>They can be used in subsequent actions to establish that the owner acted knowingly in violation of HUD’s warning.</w:t>
      </w:r>
    </w:p>
    <w:p w14:paraId="0BD7FDD0" w14:textId="77777777" w:rsidR="00B57CCF" w:rsidRDefault="00B57CCF" w:rsidP="00802A85">
      <w:pPr>
        <w:pStyle w:val="HBaOutline0"/>
      </w:pPr>
      <w:r>
        <w:t>The DEC has authority to act for HUD in a number of ways.</w:t>
      </w:r>
      <w:r w:rsidR="00613FBD">
        <w:t xml:space="preserve"> </w:t>
      </w:r>
      <w:r>
        <w:t xml:space="preserve">The DEC’s Director is HUD’s Debarring Official and the DEC may exclude an irresponsible party from doing business with the </w:t>
      </w:r>
      <w:r w:rsidR="00EE24CD">
        <w:t>F</w:t>
      </w:r>
      <w:r>
        <w:t xml:space="preserve">ederal </w:t>
      </w:r>
      <w:r w:rsidR="00EE24CD">
        <w:t>G</w:t>
      </w:r>
      <w:r>
        <w:t>overnment.</w:t>
      </w:r>
      <w:r w:rsidR="00613FBD">
        <w:t xml:space="preserve"> </w:t>
      </w:r>
      <w:r>
        <w:t>In addition, the DEC has authority:</w:t>
      </w:r>
    </w:p>
    <w:p w14:paraId="0BD7FDD1" w14:textId="77777777" w:rsidR="00B57CCF" w:rsidRDefault="00B57CCF" w:rsidP="00FD4FA3">
      <w:pPr>
        <w:pStyle w:val="HBiOutline"/>
        <w:numPr>
          <w:ilvl w:val="0"/>
          <w:numId w:val="50"/>
        </w:numPr>
      </w:pPr>
      <w:r>
        <w:t xml:space="preserve">To </w:t>
      </w:r>
      <w:r w:rsidRPr="00AE6DFD">
        <w:t>issue a notice</w:t>
      </w:r>
      <w:r>
        <w:t xml:space="preserve"> </w:t>
      </w:r>
      <w:r w:rsidRPr="00AE6DFD">
        <w:t xml:space="preserve">of violation </w:t>
      </w:r>
      <w:r w:rsidR="00771627">
        <w:t xml:space="preserve">(including Compliance, Disposition and Enforcement (CDE) plans) </w:t>
      </w:r>
      <w:r w:rsidRPr="00AE6DFD">
        <w:t>under the terms of a</w:t>
      </w:r>
      <w:r>
        <w:t xml:space="preserve"> </w:t>
      </w:r>
      <w:r w:rsidRPr="00AE6DFD">
        <w:t xml:space="preserve">regulatory agreement; </w:t>
      </w:r>
    </w:p>
    <w:p w14:paraId="0BD7FDD2" w14:textId="77777777" w:rsidR="00B57CCF" w:rsidRPr="00AE6DFD" w:rsidRDefault="00B57CCF" w:rsidP="00FD4FA3">
      <w:pPr>
        <w:pStyle w:val="HBiOutline"/>
        <w:numPr>
          <w:ilvl w:val="0"/>
          <w:numId w:val="50"/>
        </w:numPr>
      </w:pPr>
      <w:r w:rsidRPr="00AE6DFD">
        <w:t xml:space="preserve">To issue a notice of default </w:t>
      </w:r>
      <w:r w:rsidR="00771627">
        <w:t xml:space="preserve">(including CDE plans) </w:t>
      </w:r>
      <w:r w:rsidRPr="00AE6DFD">
        <w:t xml:space="preserve">under the terms of HAPs, Rental Assistance Payment Contracts, </w:t>
      </w:r>
      <w:r w:rsidR="00552C81">
        <w:t xml:space="preserve">or </w:t>
      </w:r>
      <w:r w:rsidRPr="00AE6DFD">
        <w:t>Project Rental Assistanc</w:t>
      </w:r>
      <w:r>
        <w:t>e Contracts; and</w:t>
      </w:r>
    </w:p>
    <w:p w14:paraId="0BD7FDD3" w14:textId="77777777" w:rsidR="00B57CCF" w:rsidRPr="005E5FBC" w:rsidRDefault="00B57CCF" w:rsidP="00FD4FA3">
      <w:pPr>
        <w:pStyle w:val="HBiOutline"/>
        <w:numPr>
          <w:ilvl w:val="0"/>
          <w:numId w:val="50"/>
        </w:numPr>
      </w:pPr>
      <w:r w:rsidRPr="00FD0E1A">
        <w:t xml:space="preserve">To </w:t>
      </w:r>
      <w:r>
        <w:t>take all actions permitted by</w:t>
      </w:r>
      <w:r w:rsidRPr="00FD0E1A">
        <w:t xml:space="preserve"> 24 CFR </w:t>
      </w:r>
      <w:r>
        <w:t>§</w:t>
      </w:r>
      <w:r w:rsidR="00563B89">
        <w:t xml:space="preserve"> </w:t>
      </w:r>
      <w:r w:rsidRPr="00FD0E1A">
        <w:t>30.45 and 30.68</w:t>
      </w:r>
      <w:r>
        <w:t xml:space="preserve">, to impose civil money penalties. </w:t>
      </w:r>
    </w:p>
    <w:p w14:paraId="0BD7FDD4" w14:textId="77777777" w:rsidR="00B57CCF" w:rsidRPr="00FD307A" w:rsidRDefault="00B57CCF" w:rsidP="001820DF">
      <w:pPr>
        <w:pStyle w:val="HBX1Outline"/>
      </w:pPr>
      <w:bookmarkStart w:id="6" w:name="_Toc410134276"/>
      <w:bookmarkStart w:id="7" w:name="_Toc424659466"/>
      <w:r w:rsidRPr="00FD307A">
        <w:t>Mortgagor</w:t>
      </w:r>
      <w:r w:rsidR="00771627">
        <w:t>/Owner</w:t>
      </w:r>
      <w:r w:rsidRPr="00FD307A">
        <w:t xml:space="preserve"> Requirements</w:t>
      </w:r>
      <w:bookmarkEnd w:id="6"/>
      <w:bookmarkEnd w:id="7"/>
    </w:p>
    <w:p w14:paraId="0BD7FDD5" w14:textId="77777777" w:rsidR="00B57CCF" w:rsidRPr="00FB7EB5" w:rsidRDefault="00B57CCF" w:rsidP="001820DF">
      <w:pPr>
        <w:pStyle w:val="HBAOutline"/>
        <w:numPr>
          <w:ilvl w:val="0"/>
          <w:numId w:val="51"/>
        </w:numPr>
      </w:pPr>
      <w:r w:rsidRPr="00FB7EB5">
        <w:t>Purpose</w:t>
      </w:r>
    </w:p>
    <w:p w14:paraId="0BD7FDD6" w14:textId="77777777" w:rsidR="00B57CCF" w:rsidRPr="00FB7EB5" w:rsidRDefault="00B57CCF" w:rsidP="00C33DF1">
      <w:pPr>
        <w:pStyle w:val="HBAText"/>
      </w:pPr>
      <w:r w:rsidRPr="00FB7EB5">
        <w:t>This Section sets out</w:t>
      </w:r>
      <w:r w:rsidR="005D402A">
        <w:t xml:space="preserve"> the basic requirements for FHA-</w:t>
      </w:r>
      <w:r w:rsidR="0038365D">
        <w:t>MFH</w:t>
      </w:r>
      <w:r w:rsidRPr="00FB7EB5">
        <w:t xml:space="preserve"> owners.</w:t>
      </w:r>
      <w:r w:rsidR="00613FBD">
        <w:t xml:space="preserve"> </w:t>
      </w:r>
      <w:r w:rsidRPr="00FB7EB5">
        <w:t>It is not intended to be exhaustive in its summary of those requirements.</w:t>
      </w:r>
      <w:r w:rsidR="00613FBD">
        <w:t xml:space="preserve"> </w:t>
      </w:r>
      <w:r w:rsidRPr="00FB7EB5">
        <w:t xml:space="preserve">However, the Section will highlight those areas of significant non-compliance that may arise in the course of servicing </w:t>
      </w:r>
      <w:r w:rsidR="0038365D">
        <w:t>MFH</w:t>
      </w:r>
      <w:r w:rsidRPr="00FB7EB5">
        <w:t xml:space="preserve"> projects.</w:t>
      </w:r>
    </w:p>
    <w:p w14:paraId="0BD7FDD7" w14:textId="77777777" w:rsidR="00B57CCF" w:rsidRDefault="00B57CCF" w:rsidP="001820DF">
      <w:pPr>
        <w:pStyle w:val="HBAOutline"/>
      </w:pPr>
      <w:r>
        <w:t>Background</w:t>
      </w:r>
    </w:p>
    <w:p w14:paraId="0BD7FDD8" w14:textId="77777777" w:rsidR="00B57CCF" w:rsidRDefault="00B57CCF" w:rsidP="00C33DF1">
      <w:pPr>
        <w:pStyle w:val="HBAText"/>
      </w:pPr>
      <w:r>
        <w:t xml:space="preserve">HUD’s authority to regulate FHA </w:t>
      </w:r>
      <w:r w:rsidR="0038365D">
        <w:t>MFH</w:t>
      </w:r>
      <w:r>
        <w:t xml:space="preserve"> owners derives from the National Housing Act (12 USC §§</w:t>
      </w:r>
      <w:r w:rsidR="0038365D">
        <w:t xml:space="preserve"> </w:t>
      </w:r>
      <w:r>
        <w:t>1701 et seq.) and the various FHA-insured housing loan programs thereunder.</w:t>
      </w:r>
      <w:r w:rsidR="00613FBD">
        <w:t xml:space="preserve"> </w:t>
      </w:r>
      <w:r w:rsidR="0038365D">
        <w:t>MFH</w:t>
      </w:r>
      <w:r>
        <w:t xml:space="preserve"> loan programs include:</w:t>
      </w:r>
    </w:p>
    <w:p w14:paraId="0BD7FDD9" w14:textId="77777777" w:rsidR="00B57CCF" w:rsidRDefault="00B57CCF" w:rsidP="001820DF">
      <w:pPr>
        <w:pStyle w:val="HB1Outline"/>
        <w:numPr>
          <w:ilvl w:val="0"/>
          <w:numId w:val="52"/>
        </w:numPr>
      </w:pPr>
      <w:r>
        <w:t>Section 207 (12 USC §</w:t>
      </w:r>
      <w:r w:rsidR="00921688">
        <w:t xml:space="preserve"> </w:t>
      </w:r>
      <w:r>
        <w:t>1713) Rental Housing Insurance;</w:t>
      </w:r>
    </w:p>
    <w:p w14:paraId="0BD7FDDA" w14:textId="77777777" w:rsidR="00B57CCF" w:rsidRDefault="00B57CCF">
      <w:pPr>
        <w:pStyle w:val="HB1Outline"/>
        <w:numPr>
          <w:ilvl w:val="0"/>
          <w:numId w:val="52"/>
        </w:numPr>
      </w:pPr>
      <w:r>
        <w:t>Section 213 (12 USC §</w:t>
      </w:r>
      <w:r w:rsidR="00921688">
        <w:t xml:space="preserve"> </w:t>
      </w:r>
      <w:r>
        <w:t>1715e) Cooperative Housing Insurance;</w:t>
      </w:r>
    </w:p>
    <w:p w14:paraId="0BD7FDDB" w14:textId="77777777" w:rsidR="00B57CCF" w:rsidRDefault="00B57CCF">
      <w:pPr>
        <w:pStyle w:val="HB1Outline"/>
        <w:numPr>
          <w:ilvl w:val="0"/>
          <w:numId w:val="52"/>
        </w:numPr>
      </w:pPr>
      <w:r>
        <w:t>Section 220 (12 USC §</w:t>
      </w:r>
      <w:r w:rsidR="00921688">
        <w:t xml:space="preserve"> </w:t>
      </w:r>
      <w:r>
        <w:t>1715k) Rehabilitation and Neighborhood Conservation Housing Insurance;</w:t>
      </w:r>
    </w:p>
    <w:p w14:paraId="0BD7FDDC" w14:textId="77777777" w:rsidR="00B57CCF" w:rsidRDefault="00B57CCF">
      <w:pPr>
        <w:pStyle w:val="HB1Outline"/>
        <w:numPr>
          <w:ilvl w:val="0"/>
          <w:numId w:val="52"/>
        </w:numPr>
      </w:pPr>
      <w:r>
        <w:t>Section 221(d)(3) (12 USC §</w:t>
      </w:r>
      <w:r w:rsidR="00921688">
        <w:t xml:space="preserve"> </w:t>
      </w:r>
      <w:r>
        <w:t>1715l(d)(3)) and Section 221(d)(4) (12 USC §</w:t>
      </w:r>
      <w:r w:rsidR="00921688">
        <w:t xml:space="preserve"> </w:t>
      </w:r>
      <w:r>
        <w:t>1715l(d)(4)) Mortgage Insurance for Rental and Cooperative Housing;</w:t>
      </w:r>
    </w:p>
    <w:p w14:paraId="0BD7FDDD" w14:textId="77777777" w:rsidR="00B57CCF" w:rsidRDefault="00B57CCF">
      <w:pPr>
        <w:pStyle w:val="HB1Outline"/>
        <w:numPr>
          <w:ilvl w:val="0"/>
          <w:numId w:val="52"/>
        </w:numPr>
      </w:pPr>
      <w:r>
        <w:t>Section 221(d)(5) (12 USC §</w:t>
      </w:r>
      <w:r w:rsidR="00921688">
        <w:t xml:space="preserve"> </w:t>
      </w:r>
      <w:r>
        <w:t>1715l(d)(5)) of the National Housing Act (221(d)(3) (12 USC §</w:t>
      </w:r>
      <w:r w:rsidR="00FC66C8">
        <w:t xml:space="preserve"> </w:t>
      </w:r>
      <w:r>
        <w:t xml:space="preserve">1715l(d)(3)) </w:t>
      </w:r>
      <w:r w:rsidR="00FC66C8">
        <w:t>BMIR</w:t>
      </w:r>
      <w:r>
        <w:t>);</w:t>
      </w:r>
    </w:p>
    <w:p w14:paraId="0BD7FDDE" w14:textId="77777777" w:rsidR="00B57CCF" w:rsidRDefault="00B57CCF">
      <w:pPr>
        <w:pStyle w:val="HB1Outline"/>
        <w:numPr>
          <w:ilvl w:val="0"/>
          <w:numId w:val="52"/>
        </w:numPr>
      </w:pPr>
      <w:r>
        <w:t>Section 223 (12 USC §</w:t>
      </w:r>
      <w:r w:rsidR="00921688">
        <w:t xml:space="preserve"> </w:t>
      </w:r>
      <w:r>
        <w:t>1715n);</w:t>
      </w:r>
    </w:p>
    <w:p w14:paraId="0BD7FDDF" w14:textId="77777777" w:rsidR="00B57CCF" w:rsidRDefault="00B57CCF">
      <w:pPr>
        <w:pStyle w:val="HB1Outline"/>
        <w:numPr>
          <w:ilvl w:val="0"/>
          <w:numId w:val="52"/>
        </w:numPr>
      </w:pPr>
      <w:r>
        <w:t>Section 231 (12 USC §</w:t>
      </w:r>
      <w:r w:rsidR="00921688">
        <w:t xml:space="preserve"> </w:t>
      </w:r>
      <w:r>
        <w:t xml:space="preserve">1715v) Housing for Elderly Persons; </w:t>
      </w:r>
    </w:p>
    <w:p w14:paraId="0BD7FDE0" w14:textId="77777777" w:rsidR="00B57CCF" w:rsidRDefault="00B57CCF">
      <w:pPr>
        <w:pStyle w:val="HB1Outline"/>
        <w:numPr>
          <w:ilvl w:val="0"/>
          <w:numId w:val="52"/>
        </w:numPr>
      </w:pPr>
      <w:r>
        <w:t>Section 234 (12 USC §</w:t>
      </w:r>
      <w:r w:rsidR="00384DCD">
        <w:t xml:space="preserve"> </w:t>
      </w:r>
      <w:r>
        <w:t>1715y) Mortgage Insurance for Condominiums; and</w:t>
      </w:r>
    </w:p>
    <w:p w14:paraId="0BD7FDE1" w14:textId="77777777" w:rsidR="00B57CCF" w:rsidRDefault="00B57CCF">
      <w:pPr>
        <w:pStyle w:val="HB1Outline"/>
        <w:numPr>
          <w:ilvl w:val="0"/>
          <w:numId w:val="52"/>
        </w:numPr>
      </w:pPr>
      <w:r>
        <w:t>Section 236 (12 USC §</w:t>
      </w:r>
      <w:r w:rsidR="00384DCD">
        <w:t xml:space="preserve"> </w:t>
      </w:r>
      <w:r>
        <w:t xml:space="preserve">1715z-1) Rental Housing. </w:t>
      </w:r>
    </w:p>
    <w:p w14:paraId="0BD7FDE2" w14:textId="77777777" w:rsidR="00B57CCF" w:rsidRDefault="00B57CCF" w:rsidP="00C33DF1">
      <w:pPr>
        <w:pStyle w:val="HBAText"/>
      </w:pPr>
      <w:r>
        <w:t>Likewise, HUD’s authority to regulate direct loans, grants, and other forms of rental assistance, flow from the following statutory authority:</w:t>
      </w:r>
    </w:p>
    <w:p w14:paraId="0BD7FDE3" w14:textId="77777777" w:rsidR="00630788" w:rsidRPr="00630788" w:rsidRDefault="00B57CCF" w:rsidP="001820DF">
      <w:pPr>
        <w:pStyle w:val="HB1Outline"/>
      </w:pPr>
      <w:r w:rsidRPr="00AF13AD">
        <w:t>Section 202 (12 USC §</w:t>
      </w:r>
      <w:r w:rsidR="00921688">
        <w:t xml:space="preserve"> </w:t>
      </w:r>
      <w:r w:rsidRPr="00AF13AD">
        <w:t>1701q) Supportive Housing for the Elderly;</w:t>
      </w:r>
    </w:p>
    <w:p w14:paraId="0BD7FDE4" w14:textId="77777777" w:rsidR="00B57CCF" w:rsidRPr="00AF13AD" w:rsidRDefault="00B57CCF">
      <w:pPr>
        <w:pStyle w:val="HB1Outline"/>
      </w:pPr>
      <w:r w:rsidRPr="00AF13AD">
        <w:t>Section 202/8 of the Housing Act of 1959 (12 USC 1701q) Direct Loan Program for Housing for the Elderly or Persons with Disabilities;</w:t>
      </w:r>
    </w:p>
    <w:p w14:paraId="0BD7FDE5" w14:textId="77777777" w:rsidR="00B57CCF" w:rsidRPr="00AF13AD" w:rsidRDefault="00B57CCF">
      <w:pPr>
        <w:pStyle w:val="HB1Outline"/>
      </w:pPr>
      <w:r w:rsidRPr="00AF13AD">
        <w:t>Section 202 (12 USC §</w:t>
      </w:r>
      <w:r w:rsidR="00921688">
        <w:t xml:space="preserve"> </w:t>
      </w:r>
      <w:r w:rsidRPr="00AF13AD">
        <w:t>1701q-2) Assisted Living Conversion Program;</w:t>
      </w:r>
    </w:p>
    <w:p w14:paraId="0BD7FDE6" w14:textId="77777777" w:rsidR="00B57CCF" w:rsidRPr="00AF13AD" w:rsidRDefault="00B57CCF">
      <w:pPr>
        <w:pStyle w:val="HB1Outline"/>
      </w:pPr>
      <w:r w:rsidRPr="00AF13AD">
        <w:t>Section 811 (42 USC §</w:t>
      </w:r>
      <w:r w:rsidR="00921688">
        <w:t xml:space="preserve"> </w:t>
      </w:r>
      <w:r w:rsidRPr="00AF13AD">
        <w:t xml:space="preserve">8013) Supportive Housing for Persons with Disabilities; </w:t>
      </w:r>
    </w:p>
    <w:p w14:paraId="0BD7FDE7" w14:textId="77777777" w:rsidR="00B57CCF" w:rsidRPr="00AF13AD" w:rsidRDefault="00B57CCF">
      <w:pPr>
        <w:pStyle w:val="HB1Outline"/>
      </w:pPr>
      <w:r w:rsidRPr="00AF13AD">
        <w:t>Section 201 of the Housing and Community Development Amendments Act of 1978, as amended (12 USC § 1715z-1a) (Flexible Subsidy and Capital Improvement Loans).</w:t>
      </w:r>
      <w:r w:rsidR="00613FBD">
        <w:t xml:space="preserve"> </w:t>
      </w:r>
      <w:r w:rsidRPr="00AF13AD">
        <w:t xml:space="preserve">This is an inactive program; </w:t>
      </w:r>
    </w:p>
    <w:p w14:paraId="0BD7FDE8" w14:textId="77777777" w:rsidR="00B57CCF" w:rsidRPr="00AF13AD" w:rsidRDefault="00B57CCF">
      <w:pPr>
        <w:pStyle w:val="HB1Outline"/>
      </w:pPr>
      <w:r w:rsidRPr="00AF13AD">
        <w:t>Section 101 of the Housing and Urban Development Act of 1965 (12 USC §</w:t>
      </w:r>
      <w:r w:rsidR="00384DCD">
        <w:t xml:space="preserve"> </w:t>
      </w:r>
      <w:r w:rsidRPr="00AF13AD">
        <w:t xml:space="preserve">1701s) (Rent Supplement); </w:t>
      </w:r>
    </w:p>
    <w:p w14:paraId="0BD7FDE9" w14:textId="77777777" w:rsidR="00B57CCF" w:rsidRPr="00AF13AD" w:rsidRDefault="00B57CCF">
      <w:pPr>
        <w:pStyle w:val="HB1Outline"/>
      </w:pPr>
      <w:r w:rsidRPr="00AF13AD">
        <w:t>Section 8 Project-Based Rental Certificates/Vouchers (42 USC §</w:t>
      </w:r>
      <w:r w:rsidR="00384DCD">
        <w:t xml:space="preserve"> </w:t>
      </w:r>
      <w:r w:rsidRPr="00AF13AD">
        <w:t xml:space="preserve">1473f(o)(13); </w:t>
      </w:r>
    </w:p>
    <w:p w14:paraId="0BD7FDEA" w14:textId="77777777" w:rsidR="00B57CCF" w:rsidRPr="00AF13AD" w:rsidRDefault="00B57CCF">
      <w:pPr>
        <w:pStyle w:val="HB1Outline"/>
      </w:pPr>
      <w:r w:rsidRPr="00AF13AD">
        <w:t>Section 542 (b) and (c) of the Housing and Community Development Act of 1992 (Risk Sharing Programs) (42 USC §</w:t>
      </w:r>
      <w:r w:rsidR="00921688">
        <w:t xml:space="preserve"> </w:t>
      </w:r>
      <w:r w:rsidRPr="00AF13AD">
        <w:t>1473f(b) and (c)); and</w:t>
      </w:r>
    </w:p>
    <w:p w14:paraId="0BD7FDEB" w14:textId="77777777" w:rsidR="00B57CCF" w:rsidRPr="00AF13AD" w:rsidRDefault="00B57CCF">
      <w:pPr>
        <w:pStyle w:val="HB1Outline"/>
      </w:pPr>
      <w:r w:rsidRPr="00AF13AD">
        <w:t>Low Income Housing Tax Credit Programs</w:t>
      </w:r>
      <w:r w:rsidR="00921688">
        <w:t xml:space="preserve"> (LIHTC)</w:t>
      </w:r>
      <w:r w:rsidRPr="00AF13AD">
        <w:t>.</w:t>
      </w:r>
      <w:r w:rsidR="009042AF">
        <w:t xml:space="preserve"> The Treasury Department is the administering agency for LIHTCs.</w:t>
      </w:r>
    </w:p>
    <w:p w14:paraId="0BD7FDEC" w14:textId="77777777" w:rsidR="001820DF" w:rsidRDefault="009042AF" w:rsidP="001820DF">
      <w:pPr>
        <w:pStyle w:val="HBX1Outline"/>
      </w:pPr>
      <w:r>
        <w:t>Mortgagor/</w:t>
      </w:r>
      <w:r w:rsidR="001820DF">
        <w:t>Owner Benefits</w:t>
      </w:r>
    </w:p>
    <w:p w14:paraId="0BD7FDED" w14:textId="77777777" w:rsidR="00B57CCF" w:rsidRDefault="00B57CCF" w:rsidP="00F31A67">
      <w:pPr>
        <w:pStyle w:val="HBAOutline"/>
        <w:numPr>
          <w:ilvl w:val="0"/>
          <w:numId w:val="56"/>
        </w:numPr>
      </w:pPr>
      <w:r>
        <w:t xml:space="preserve">In exchange for obtaining a non-recourse loan insured by the </w:t>
      </w:r>
      <w:r w:rsidR="00EE24CD">
        <w:t>F</w:t>
      </w:r>
      <w:r>
        <w:t xml:space="preserve">ederal </w:t>
      </w:r>
      <w:r w:rsidR="00EE24CD">
        <w:t>G</w:t>
      </w:r>
      <w:r>
        <w:t>overnment or other rental assistance, the owner agrees</w:t>
      </w:r>
      <w:r w:rsidR="00003587">
        <w:t>, among other things,</w:t>
      </w:r>
      <w:r>
        <w:t xml:space="preserve"> to maintain the project in acceptable physical condition, to operate the project according to HUD’s regulations and programmatic requirements, and to take </w:t>
      </w:r>
      <w:r w:rsidR="009042AF">
        <w:t>distributions only according to the limitations provided in applicable regulations and business agreements.</w:t>
      </w:r>
      <w:r>
        <w:t xml:space="preserve"> </w:t>
      </w:r>
    </w:p>
    <w:p w14:paraId="0BD7FDEE" w14:textId="77777777" w:rsidR="00B57CCF" w:rsidRDefault="00B57CCF" w:rsidP="00F31A67">
      <w:pPr>
        <w:pStyle w:val="HBAOutline"/>
      </w:pPr>
      <w:r>
        <w:t>Applicability</w:t>
      </w:r>
    </w:p>
    <w:p w14:paraId="0BD7FDEF" w14:textId="77777777" w:rsidR="00B57CCF" w:rsidRDefault="00B57CCF" w:rsidP="00AF13AD">
      <w:pPr>
        <w:pStyle w:val="level5text"/>
        <w:rPr>
          <w:b/>
        </w:rPr>
      </w:pPr>
      <w:r>
        <w:t xml:space="preserve">The requirements of this </w:t>
      </w:r>
      <w:r w:rsidR="000F6B57">
        <w:t>Section</w:t>
      </w:r>
      <w:r>
        <w:t xml:space="preserve"> apply to FHA-insured or HUD-assisted</w:t>
      </w:r>
      <w:r w:rsidRPr="00762D1D">
        <w:t xml:space="preserve"> </w:t>
      </w:r>
      <w:r>
        <w:t xml:space="preserve">projects listed in section </w:t>
      </w:r>
      <w:r w:rsidR="00F31A67">
        <w:t>5</w:t>
      </w:r>
      <w:r w:rsidR="00FA01A6">
        <w:t>.</w:t>
      </w:r>
      <w:r w:rsidR="00F31A67">
        <w:t>1</w:t>
      </w:r>
      <w:r w:rsidR="00FA01A6">
        <w:t>.</w:t>
      </w:r>
      <w:r>
        <w:t>2</w:t>
      </w:r>
      <w:r w:rsidR="00F31A67">
        <w:t>.B</w:t>
      </w:r>
      <w:r w:rsidR="00AE0733">
        <w:t>)</w:t>
      </w:r>
      <w:r>
        <w:t xml:space="preserve"> above</w:t>
      </w:r>
      <w:r w:rsidR="009042AF">
        <w:t>, and projects with project-based rental subsidy, in the MFH portfolio.</w:t>
      </w:r>
    </w:p>
    <w:p w14:paraId="0BD7FDF0" w14:textId="77777777" w:rsidR="00B57CCF" w:rsidRDefault="00B57CCF" w:rsidP="00F31A67">
      <w:pPr>
        <w:pStyle w:val="HBAOutline"/>
      </w:pPr>
      <w:bookmarkStart w:id="8" w:name="_Toc410134278"/>
      <w:bookmarkStart w:id="9" w:name="_Toc424659468"/>
      <w:r w:rsidRPr="001820DF">
        <w:t>Compliance with Statutes, Regulations, Business Agreements and Program</w:t>
      </w:r>
      <w:r w:rsidRPr="00BC217E">
        <w:t xml:space="preserve"> Requirements</w:t>
      </w:r>
      <w:bookmarkEnd w:id="8"/>
      <w:bookmarkEnd w:id="9"/>
    </w:p>
    <w:p w14:paraId="0BD7FDF1" w14:textId="77777777" w:rsidR="00B57CCF" w:rsidRDefault="000F6B57" w:rsidP="00AF13AD">
      <w:pPr>
        <w:pStyle w:val="level4text"/>
      </w:pPr>
      <w:r>
        <w:t>MFH</w:t>
      </w:r>
      <w:r w:rsidR="00B57CCF">
        <w:t xml:space="preserve"> owners must comply with the statutes, regulations, business agreements and program requirements relating to their project. All of the </w:t>
      </w:r>
      <w:r w:rsidR="0038365D">
        <w:t xml:space="preserve">MFH </w:t>
      </w:r>
      <w:r w:rsidR="00B57CCF">
        <w:t>loan programs have statutory and regulatory requirements for those who participate in the programs.</w:t>
      </w:r>
      <w:r w:rsidR="00613FBD">
        <w:t xml:space="preserve"> </w:t>
      </w:r>
      <w:r w:rsidR="00C3471B">
        <w:t xml:space="preserve">For instance, all regulatory agreements include important requirements that project funds must only be used for “reasonable operating expenses and necessary repairs” and that distributions may only be taken from surplus cash. </w:t>
      </w:r>
      <w:r w:rsidR="00B57CCF">
        <w:t>The following sub-sections identify some of the</w:t>
      </w:r>
      <w:r w:rsidR="00C3471B">
        <w:t xml:space="preserve"> other </w:t>
      </w:r>
      <w:r w:rsidR="00B57CCF">
        <w:t>most significant mortgagor requirements.</w:t>
      </w:r>
    </w:p>
    <w:p w14:paraId="0BD7FDF2" w14:textId="77777777" w:rsidR="00B57CCF" w:rsidRPr="00F77BDA" w:rsidRDefault="00B57CCF" w:rsidP="00F31A67">
      <w:pPr>
        <w:pStyle w:val="HB1Outline"/>
        <w:numPr>
          <w:ilvl w:val="0"/>
          <w:numId w:val="57"/>
        </w:numPr>
      </w:pPr>
      <w:r w:rsidRPr="00F77BDA">
        <w:t>Federal Criminal Law Requirements</w:t>
      </w:r>
    </w:p>
    <w:p w14:paraId="0BD7FDF3" w14:textId="77777777" w:rsidR="00B57CCF" w:rsidRPr="001A6F17" w:rsidRDefault="00B57CCF" w:rsidP="00AF13AD">
      <w:pPr>
        <w:pStyle w:val="level5text"/>
        <w:rPr>
          <w:rFonts w:eastAsia="MS Mincho"/>
          <w:b/>
        </w:rPr>
      </w:pPr>
      <w:r w:rsidRPr="00541547">
        <w:rPr>
          <w:rFonts w:eastAsia="MS Mincho"/>
        </w:rPr>
        <w:t xml:space="preserve">Certain </w:t>
      </w:r>
      <w:r>
        <w:rPr>
          <w:rFonts w:eastAsia="MS Mincho"/>
        </w:rPr>
        <w:t>owner or management agent actions violate federal criminal laws</w:t>
      </w:r>
      <w:r w:rsidRPr="00541547">
        <w:rPr>
          <w:rFonts w:eastAsia="MS Mincho"/>
        </w:rPr>
        <w:t>.</w:t>
      </w:r>
      <w:r w:rsidR="00613FBD">
        <w:rPr>
          <w:rFonts w:eastAsia="MS Mincho"/>
        </w:rPr>
        <w:t xml:space="preserve"> </w:t>
      </w:r>
      <w:r>
        <w:rPr>
          <w:rFonts w:eastAsia="MS Mincho"/>
        </w:rPr>
        <w:t>Account Executives who s</w:t>
      </w:r>
      <w:r w:rsidRPr="00541547">
        <w:rPr>
          <w:rFonts w:eastAsia="MS Mincho"/>
        </w:rPr>
        <w:t>uspect criminal violations must refer</w:t>
      </w:r>
      <w:r>
        <w:rPr>
          <w:rFonts w:eastAsia="MS Mincho"/>
        </w:rPr>
        <w:t xml:space="preserve"> them to</w:t>
      </w:r>
      <w:r w:rsidRPr="00541547">
        <w:rPr>
          <w:rFonts w:eastAsia="MS Mincho"/>
        </w:rPr>
        <w:t xml:space="preserve"> </w:t>
      </w:r>
      <w:r>
        <w:rPr>
          <w:rFonts w:eastAsia="MS Mincho"/>
        </w:rPr>
        <w:t>HUD’s</w:t>
      </w:r>
      <w:r w:rsidRPr="00541547">
        <w:rPr>
          <w:rFonts w:eastAsia="MS Mincho"/>
        </w:rPr>
        <w:t xml:space="preserve"> OIG.</w:t>
      </w:r>
      <w:r w:rsidR="00613FBD">
        <w:rPr>
          <w:rFonts w:eastAsia="MS Mincho"/>
        </w:rPr>
        <w:t xml:space="preserve"> </w:t>
      </w:r>
      <w:r>
        <w:rPr>
          <w:rFonts w:eastAsia="MS Mincho"/>
        </w:rPr>
        <w:t>The following are possible owner/agent criminal acts:</w:t>
      </w:r>
    </w:p>
    <w:p w14:paraId="0BD7FDF4" w14:textId="77777777" w:rsidR="00B57CCF" w:rsidRPr="00541547" w:rsidRDefault="00B57CCF" w:rsidP="00FD4FA3">
      <w:pPr>
        <w:pStyle w:val="Heading6"/>
        <w:numPr>
          <w:ilvl w:val="5"/>
          <w:numId w:val="28"/>
        </w:numPr>
        <w:rPr>
          <w:rFonts w:eastAsia="MS Mincho"/>
        </w:rPr>
      </w:pPr>
      <w:r w:rsidRPr="00F31A67">
        <w:rPr>
          <w:rFonts w:eastAsia="MS Mincho"/>
        </w:rPr>
        <w:t>Equity Skimming</w:t>
      </w:r>
      <w:r w:rsidRPr="00541547">
        <w:rPr>
          <w:rFonts w:eastAsia="MS Mincho"/>
        </w:rPr>
        <w:t xml:space="preserve"> (12</w:t>
      </w:r>
      <w:r>
        <w:rPr>
          <w:rFonts w:eastAsia="MS Mincho"/>
        </w:rPr>
        <w:t xml:space="preserve"> USC </w:t>
      </w:r>
      <w:r>
        <w:t>§</w:t>
      </w:r>
      <w:r w:rsidRPr="00541547">
        <w:rPr>
          <w:rFonts w:eastAsia="MS Mincho"/>
        </w:rPr>
        <w:t>1715z-19).</w:t>
      </w:r>
      <w:r w:rsidR="00613FBD">
        <w:rPr>
          <w:rFonts w:eastAsia="MS Mincho"/>
        </w:rPr>
        <w:t xml:space="preserve"> </w:t>
      </w:r>
      <w:r w:rsidRPr="00541547">
        <w:rPr>
          <w:rFonts w:eastAsia="MS Mincho"/>
        </w:rPr>
        <w:t xml:space="preserve">An </w:t>
      </w:r>
      <w:r>
        <w:rPr>
          <w:rFonts w:eastAsia="MS Mincho"/>
        </w:rPr>
        <w:t>o</w:t>
      </w:r>
      <w:r w:rsidRPr="00541547">
        <w:rPr>
          <w:rFonts w:eastAsia="MS Mincho"/>
        </w:rPr>
        <w:t>wner, agent, or manager may be fined up to $250,000 or imprisoned not more than five years for willfully using or authorizing the use of any part of the rents, assets, proceeds, income or other funds derived fr</w:t>
      </w:r>
      <w:r>
        <w:rPr>
          <w:rFonts w:eastAsia="MS Mincho"/>
        </w:rPr>
        <w:t>om</w:t>
      </w:r>
      <w:r w:rsidRPr="00541547">
        <w:rPr>
          <w:rFonts w:eastAsia="MS Mincho"/>
        </w:rPr>
        <w:t xml:space="preserve"> the </w:t>
      </w:r>
      <w:r>
        <w:rPr>
          <w:rFonts w:eastAsia="MS Mincho"/>
        </w:rPr>
        <w:t>project</w:t>
      </w:r>
      <w:r w:rsidRPr="00541547">
        <w:rPr>
          <w:rFonts w:eastAsia="MS Mincho"/>
        </w:rPr>
        <w:t xml:space="preserve"> during a period when the mortgage note is in default or the project is in a non-surplus cash position for any purpose other than to meet actual or necessary </w:t>
      </w:r>
      <w:r>
        <w:rPr>
          <w:rFonts w:eastAsia="MS Mincho"/>
        </w:rPr>
        <w:t xml:space="preserve">project </w:t>
      </w:r>
      <w:r w:rsidRPr="00541547">
        <w:rPr>
          <w:rFonts w:eastAsia="MS Mincho"/>
        </w:rPr>
        <w:t>expenses.</w:t>
      </w:r>
    </w:p>
    <w:p w14:paraId="0BD7FDF5" w14:textId="77777777" w:rsidR="00B57CCF" w:rsidRPr="00541547" w:rsidRDefault="00B57CCF" w:rsidP="00FD4FA3">
      <w:pPr>
        <w:pStyle w:val="Heading6"/>
        <w:numPr>
          <w:ilvl w:val="5"/>
          <w:numId w:val="28"/>
        </w:numPr>
        <w:rPr>
          <w:rFonts w:eastAsia="MS Mincho"/>
        </w:rPr>
      </w:pPr>
      <w:r w:rsidRPr="00F31A67">
        <w:rPr>
          <w:rFonts w:eastAsia="MS Mincho"/>
        </w:rPr>
        <w:t>False Statements</w:t>
      </w:r>
      <w:r w:rsidRPr="00541547">
        <w:rPr>
          <w:rFonts w:eastAsia="MS Mincho"/>
        </w:rPr>
        <w:t xml:space="preserve"> (18</w:t>
      </w:r>
      <w:r>
        <w:rPr>
          <w:rFonts w:eastAsia="MS Mincho"/>
        </w:rPr>
        <w:t xml:space="preserve"> USC </w:t>
      </w:r>
      <w:r>
        <w:t>§</w:t>
      </w:r>
      <w:r w:rsidRPr="00541547">
        <w:rPr>
          <w:rFonts w:eastAsia="MS Mincho"/>
        </w:rPr>
        <w:t>1001)</w:t>
      </w:r>
      <w:r>
        <w:rPr>
          <w:rFonts w:eastAsia="MS Mincho"/>
        </w:rPr>
        <w:t>.</w:t>
      </w:r>
      <w:r w:rsidR="00613FBD">
        <w:rPr>
          <w:rFonts w:eastAsia="MS Mincho"/>
        </w:rPr>
        <w:t xml:space="preserve"> </w:t>
      </w:r>
      <w:r w:rsidRPr="00541547">
        <w:rPr>
          <w:rFonts w:eastAsia="MS Mincho"/>
        </w:rPr>
        <w:t>A person may be fined not more than $10,000 or imprisoned not more than 5 years, or both, for knowingly and willfully falsifying, concealing or making any false, fictitious or fraudulent statements or representations or making or using any false document knowing it to contain any false, fictitious or fraudulent statement.</w:t>
      </w:r>
    </w:p>
    <w:p w14:paraId="0BD7FDF6" w14:textId="77777777" w:rsidR="00B57CCF" w:rsidRPr="00541547" w:rsidRDefault="00B57CCF" w:rsidP="00FD4FA3">
      <w:pPr>
        <w:pStyle w:val="Heading6"/>
        <w:numPr>
          <w:ilvl w:val="5"/>
          <w:numId w:val="28"/>
        </w:numPr>
        <w:rPr>
          <w:rFonts w:eastAsia="MS Mincho"/>
        </w:rPr>
      </w:pPr>
      <w:r w:rsidRPr="00F31A67">
        <w:rPr>
          <w:rFonts w:eastAsia="MS Mincho"/>
        </w:rPr>
        <w:t>False Statements</w:t>
      </w:r>
      <w:r w:rsidRPr="00541547">
        <w:rPr>
          <w:rFonts w:eastAsia="MS Mincho"/>
        </w:rPr>
        <w:t xml:space="preserve"> (18</w:t>
      </w:r>
      <w:r>
        <w:rPr>
          <w:rFonts w:eastAsia="MS Mincho"/>
        </w:rPr>
        <w:t xml:space="preserve"> USC</w:t>
      </w:r>
      <w:r w:rsidRPr="00541547">
        <w:rPr>
          <w:rFonts w:eastAsia="MS Mincho"/>
        </w:rPr>
        <w:t xml:space="preserve"> </w:t>
      </w:r>
      <w:r>
        <w:t>§</w:t>
      </w:r>
      <w:r w:rsidRPr="00541547">
        <w:rPr>
          <w:rFonts w:eastAsia="MS Mincho"/>
        </w:rPr>
        <w:t>1010).</w:t>
      </w:r>
      <w:r w:rsidR="00613FBD">
        <w:rPr>
          <w:rFonts w:eastAsia="MS Mincho"/>
        </w:rPr>
        <w:t xml:space="preserve"> </w:t>
      </w:r>
      <w:r w:rsidRPr="00541547">
        <w:rPr>
          <w:rFonts w:eastAsia="MS Mincho"/>
        </w:rPr>
        <w:t xml:space="preserve">A person may be fined not more than $5,000 or imprisoned not more than 2 years or both, for (a) knowingly making or signing false statements or (b) willfully overvaluing any security, asset or income for purposes of obtaining any </w:t>
      </w:r>
      <w:r>
        <w:rPr>
          <w:rFonts w:eastAsia="MS Mincho"/>
        </w:rPr>
        <w:t>FHA</w:t>
      </w:r>
      <w:r w:rsidRPr="00541547">
        <w:rPr>
          <w:rFonts w:eastAsia="MS Mincho"/>
        </w:rPr>
        <w:t xml:space="preserve"> insured loan or advance of credit or for the purpose of obtaining any extension or renewal of any loan, advance of credit or mortgage or acceptance, release or substitution of any security on such loan.</w:t>
      </w:r>
    </w:p>
    <w:p w14:paraId="0BD7FDF7" w14:textId="77777777" w:rsidR="00B57CCF" w:rsidRDefault="00B57CCF" w:rsidP="00FD4FA3">
      <w:pPr>
        <w:pStyle w:val="Heading6"/>
        <w:numPr>
          <w:ilvl w:val="5"/>
          <w:numId w:val="28"/>
        </w:numPr>
        <w:rPr>
          <w:rFonts w:eastAsia="MS Mincho"/>
        </w:rPr>
      </w:pPr>
      <w:r w:rsidRPr="00F31A67">
        <w:rPr>
          <w:rFonts w:eastAsia="MS Mincho"/>
        </w:rPr>
        <w:t>HUD Transactions</w:t>
      </w:r>
      <w:r w:rsidRPr="00541547">
        <w:rPr>
          <w:rFonts w:eastAsia="MS Mincho"/>
        </w:rPr>
        <w:t xml:space="preserve"> (18</w:t>
      </w:r>
      <w:r>
        <w:rPr>
          <w:rFonts w:eastAsia="MS Mincho"/>
        </w:rPr>
        <w:t xml:space="preserve"> USC</w:t>
      </w:r>
      <w:r w:rsidRPr="00541547">
        <w:rPr>
          <w:rFonts w:eastAsia="MS Mincho"/>
        </w:rPr>
        <w:t xml:space="preserve"> </w:t>
      </w:r>
      <w:r>
        <w:t>§</w:t>
      </w:r>
      <w:r>
        <w:rPr>
          <w:rFonts w:eastAsia="MS Mincho"/>
        </w:rPr>
        <w:t>1012</w:t>
      </w:r>
      <w:r w:rsidRPr="00541547">
        <w:rPr>
          <w:rFonts w:eastAsia="MS Mincho"/>
        </w:rPr>
        <w:t>)</w:t>
      </w:r>
      <w:r>
        <w:rPr>
          <w:rFonts w:eastAsia="MS Mincho"/>
        </w:rPr>
        <w:t>.</w:t>
      </w:r>
      <w:r w:rsidR="00613FBD">
        <w:rPr>
          <w:rFonts w:eastAsia="MS Mincho"/>
        </w:rPr>
        <w:t xml:space="preserve"> </w:t>
      </w:r>
      <w:r w:rsidRPr="00541547">
        <w:rPr>
          <w:rFonts w:eastAsia="MS Mincho"/>
        </w:rPr>
        <w:t>A person may be fined not more than $1,000 or imprisoned not more than one year or both for making any false entry in any book of HUD or making any false report or statement to HUD or for receiving any compensation with intent to defraud HUD or unlawfully to def</w:t>
      </w:r>
      <w:r>
        <w:rPr>
          <w:rFonts w:eastAsia="MS Mincho"/>
        </w:rPr>
        <w:t>eat its purposes.</w:t>
      </w:r>
    </w:p>
    <w:p w14:paraId="0BD7FDF8" w14:textId="77777777" w:rsidR="00B57CCF" w:rsidRPr="001A6F17" w:rsidRDefault="00B57CCF" w:rsidP="00F31A67">
      <w:pPr>
        <w:pStyle w:val="HB1Outline"/>
        <w:rPr>
          <w:rFonts w:eastAsia="MS Mincho"/>
        </w:rPr>
      </w:pPr>
      <w:r w:rsidRPr="004312AA">
        <w:t xml:space="preserve">Requirements to </w:t>
      </w:r>
      <w:r w:rsidRPr="001A6F17">
        <w:t>Maintain the Project’s Physical Condition</w:t>
      </w:r>
    </w:p>
    <w:p w14:paraId="0BD7FDF9" w14:textId="77777777" w:rsidR="00B57CCF" w:rsidRDefault="0038365D" w:rsidP="00537D84">
      <w:pPr>
        <w:pStyle w:val="level5text"/>
      </w:pPr>
      <w:r>
        <w:t>MFH</w:t>
      </w:r>
      <w:r w:rsidR="00B57CCF">
        <w:t xml:space="preserve"> owners must comply with t</w:t>
      </w:r>
      <w:r w:rsidR="00B57CCF" w:rsidRPr="009E6DF6">
        <w:t xml:space="preserve">he </w:t>
      </w:r>
      <w:r w:rsidR="00B57CCF">
        <w:t>u</w:t>
      </w:r>
      <w:r w:rsidR="00B57CCF" w:rsidRPr="009E6DF6">
        <w:t xml:space="preserve">niform </w:t>
      </w:r>
      <w:r w:rsidR="00B57CCF">
        <w:t>p</w:t>
      </w:r>
      <w:r w:rsidR="00B57CCF" w:rsidRPr="009E6DF6">
        <w:t xml:space="preserve">hysical </w:t>
      </w:r>
      <w:r w:rsidR="00B57CCF">
        <w:t>c</w:t>
      </w:r>
      <w:r w:rsidR="00B57CCF" w:rsidRPr="009E6DF6">
        <w:t>o</w:t>
      </w:r>
      <w:r w:rsidR="00B57CCF">
        <w:t>nditions standards, found at 24 CFR §</w:t>
      </w:r>
      <w:r>
        <w:t xml:space="preserve"> </w:t>
      </w:r>
      <w:r w:rsidR="00B57CCF">
        <w:t>5.703.</w:t>
      </w:r>
      <w:r w:rsidR="00613FBD">
        <w:t xml:space="preserve"> </w:t>
      </w:r>
      <w:r w:rsidR="00B57CCF">
        <w:t xml:space="preserve">These standards apply to all </w:t>
      </w:r>
      <w:r>
        <w:t>MFH</w:t>
      </w:r>
      <w:r w:rsidR="00B57CCF" w:rsidRPr="009E6DF6">
        <w:t xml:space="preserve"> identified in 24 CFR </w:t>
      </w:r>
      <w:r w:rsidR="00B57CCF">
        <w:t>§</w:t>
      </w:r>
      <w:r>
        <w:t xml:space="preserve"> </w:t>
      </w:r>
      <w:r w:rsidR="00B57CCF" w:rsidRPr="009E6DF6">
        <w:t>200.</w:t>
      </w:r>
      <w:r w:rsidR="00B57CCF">
        <w:t xml:space="preserve">853, which include all FHA-insured and HUD-assisted projects under </w:t>
      </w:r>
      <w:r w:rsidR="00A13888">
        <w:t>MFH</w:t>
      </w:r>
      <w:r w:rsidR="00B57CCF">
        <w:t>’s jurisdiction.</w:t>
      </w:r>
      <w:r w:rsidR="00613FBD">
        <w:t xml:space="preserve"> </w:t>
      </w:r>
      <w:r w:rsidR="00B57CCF">
        <w:t>The standards address the major areas of HUD housing (defined in 24 CFR §</w:t>
      </w:r>
      <w:r>
        <w:t xml:space="preserve"> </w:t>
      </w:r>
      <w:r w:rsidR="00B57CCF">
        <w:t xml:space="preserve">5.701(d)): </w:t>
      </w:r>
    </w:p>
    <w:p w14:paraId="0BD7FDFA" w14:textId="77777777" w:rsidR="00B57CCF" w:rsidRDefault="00B57CCF" w:rsidP="00C3471B">
      <w:pPr>
        <w:pStyle w:val="Heading6"/>
        <w:numPr>
          <w:ilvl w:val="5"/>
          <w:numId w:val="58"/>
        </w:numPr>
      </w:pPr>
      <w:r>
        <w:t>The site</w:t>
      </w:r>
      <w:r w:rsidR="00613FBD">
        <w:t xml:space="preserve"> </w:t>
      </w:r>
      <w:r w:rsidR="0038365D">
        <w:t>m</w:t>
      </w:r>
      <w:r>
        <w:t>ust be free of health and safety hazards and be in good repair.</w:t>
      </w:r>
    </w:p>
    <w:p w14:paraId="0BD7FDFB" w14:textId="77777777" w:rsidR="00B57CCF" w:rsidRDefault="0038365D" w:rsidP="00C3471B">
      <w:pPr>
        <w:pStyle w:val="Heading6"/>
        <w:numPr>
          <w:ilvl w:val="5"/>
          <w:numId w:val="58"/>
        </w:numPr>
      </w:pPr>
      <w:r>
        <w:t xml:space="preserve">Each </w:t>
      </w:r>
      <w:r w:rsidR="00B57CCF">
        <w:t>building exterior must be structurally sound, secure, habitable and in good repair.</w:t>
      </w:r>
    </w:p>
    <w:p w14:paraId="0BD7FDFC" w14:textId="77777777" w:rsidR="00B57CCF" w:rsidRDefault="00B57CCF" w:rsidP="00C3471B">
      <w:pPr>
        <w:pStyle w:val="Heading6"/>
        <w:numPr>
          <w:ilvl w:val="5"/>
          <w:numId w:val="58"/>
        </w:numPr>
      </w:pPr>
      <w:r>
        <w:t>The building systems</w:t>
      </w:r>
      <w:r w:rsidR="00A56696">
        <w:t>, including</w:t>
      </w:r>
      <w:r>
        <w:t xml:space="preserve"> water, electrical, elevators, emergency power, fire protection, HVAC and sanitary systems of each building must be free of health and safety hazards, be functionally adequate, operable and in good repair. </w:t>
      </w:r>
    </w:p>
    <w:p w14:paraId="0BD7FDFD" w14:textId="77777777" w:rsidR="00B57CCF" w:rsidRDefault="00A56696" w:rsidP="00C3471B">
      <w:pPr>
        <w:pStyle w:val="Heading6"/>
        <w:numPr>
          <w:ilvl w:val="5"/>
          <w:numId w:val="58"/>
        </w:numPr>
      </w:pPr>
      <w:r>
        <w:t xml:space="preserve">Each </w:t>
      </w:r>
      <w:r w:rsidR="00B57CCF">
        <w:t>dwelling unit must be structurally sound, habitable and in good repair; where applicable, each unit must have hot and cold running water; facilities must operate properly</w:t>
      </w:r>
      <w:r w:rsidR="000310FF">
        <w:t xml:space="preserve"> –</w:t>
      </w:r>
      <w:r w:rsidR="00B57CCF">
        <w:t xml:space="preserve"> in private and adequately for personal hygiene and disposal of human waste</w:t>
      </w:r>
      <w:r>
        <w:t xml:space="preserve"> – a</w:t>
      </w:r>
      <w:r w:rsidR="00B57CCF">
        <w:t>nd there must be a smoke detector on each level of the unit in proper working condition.</w:t>
      </w:r>
    </w:p>
    <w:p w14:paraId="0BD7FDFE" w14:textId="77777777" w:rsidR="00B57CCF" w:rsidRDefault="00B57CCF" w:rsidP="00C3471B">
      <w:pPr>
        <w:pStyle w:val="Heading6"/>
        <w:numPr>
          <w:ilvl w:val="5"/>
          <w:numId w:val="58"/>
        </w:numPr>
      </w:pPr>
      <w:r>
        <w:t xml:space="preserve">The common areas </w:t>
      </w:r>
      <w:r w:rsidR="00A56696">
        <w:t>m</w:t>
      </w:r>
      <w:r>
        <w:t>ust be structurally sound, secure and functionally adequate for the purposes intended.</w:t>
      </w:r>
    </w:p>
    <w:p w14:paraId="0BD7FDFF" w14:textId="77777777" w:rsidR="00B57CCF" w:rsidRDefault="00B57CCF" w:rsidP="00C3471B">
      <w:pPr>
        <w:pStyle w:val="Heading6"/>
        <w:numPr>
          <w:ilvl w:val="5"/>
          <w:numId w:val="58"/>
        </w:numPr>
      </w:pPr>
      <w:r>
        <w:t>All areas of the housing must be free of health and safety hazards</w:t>
      </w:r>
      <w:r w:rsidR="00A56696">
        <w:t>:</w:t>
      </w:r>
      <w:r w:rsidR="00613FBD">
        <w:t xml:space="preserve"> </w:t>
      </w:r>
      <w:r>
        <w:t>This includes air quality, electrical hazards, elevators, emergency/fire exits, flammable materials, garbage and debris, handrail hazards, pest infestations, and lead</w:t>
      </w:r>
      <w:r w:rsidR="000310FF">
        <w:t>-</w:t>
      </w:r>
      <w:r>
        <w:t xml:space="preserve">based paint. </w:t>
      </w:r>
    </w:p>
    <w:p w14:paraId="0BD7FE00" w14:textId="77777777" w:rsidR="00B57CCF" w:rsidRDefault="00B57CCF" w:rsidP="00C3471B">
      <w:pPr>
        <w:pStyle w:val="Heading6"/>
        <w:numPr>
          <w:ilvl w:val="5"/>
          <w:numId w:val="58"/>
        </w:numPr>
      </w:pPr>
      <w:r>
        <w:t xml:space="preserve">Compliance with </w:t>
      </w:r>
      <w:r w:rsidR="000F6B57">
        <w:t>s</w:t>
      </w:r>
      <w:r>
        <w:t>tate and local codes.</w:t>
      </w:r>
      <w:r w:rsidR="00613FBD">
        <w:t xml:space="preserve"> </w:t>
      </w:r>
      <w:r>
        <w:t xml:space="preserve">HUD’s standards do not supersede or pre-empt </w:t>
      </w:r>
      <w:r w:rsidR="000F6B57">
        <w:t>s</w:t>
      </w:r>
      <w:r>
        <w:t>tate and local codes.</w:t>
      </w:r>
    </w:p>
    <w:p w14:paraId="0BD7FE01" w14:textId="77777777" w:rsidR="00B57CCF" w:rsidRPr="009E6DF6" w:rsidRDefault="00B57CCF" w:rsidP="00537D84">
      <w:pPr>
        <w:pStyle w:val="level5text"/>
      </w:pPr>
      <w:r>
        <w:t>HUD’s</w:t>
      </w:r>
      <w:r w:rsidRPr="009E6DF6">
        <w:t xml:space="preserve"> business agreements </w:t>
      </w:r>
      <w:r>
        <w:t xml:space="preserve">with the owners </w:t>
      </w:r>
      <w:r w:rsidRPr="009E6DF6">
        <w:t xml:space="preserve">describe </w:t>
      </w:r>
      <w:r>
        <w:t xml:space="preserve">the physical condition standard </w:t>
      </w:r>
      <w:r w:rsidR="00C3471B">
        <w:t>in varying ways. Generally, most documents contain the following language, but documents may vary</w:t>
      </w:r>
      <w:r>
        <w:t>:</w:t>
      </w:r>
    </w:p>
    <w:p w14:paraId="0BD7FE02" w14:textId="77777777" w:rsidR="00C3471B" w:rsidRDefault="00B57CCF" w:rsidP="00C3471B">
      <w:pPr>
        <w:pStyle w:val="Heading6"/>
        <w:numPr>
          <w:ilvl w:val="5"/>
          <w:numId w:val="60"/>
        </w:numPr>
        <w:rPr>
          <w:rFonts w:eastAsia="Times New Roman" w:cs="Arial"/>
          <w:sz w:val="20"/>
          <w:szCs w:val="20"/>
        </w:rPr>
      </w:pPr>
      <w:r w:rsidRPr="00F31A67">
        <w:t>Regulatory Agreement</w:t>
      </w:r>
      <w:r w:rsidRPr="00663112">
        <w:rPr>
          <w:szCs w:val="24"/>
        </w:rPr>
        <w:t>:</w:t>
      </w:r>
      <w:r w:rsidR="00613FBD" w:rsidRPr="00663112">
        <w:rPr>
          <w:szCs w:val="24"/>
        </w:rPr>
        <w:t xml:space="preserve"> </w:t>
      </w:r>
      <w:r w:rsidR="00C3471B" w:rsidRPr="00663112">
        <w:rPr>
          <w:rFonts w:eastAsia="Times New Roman" w:cs="Arial"/>
          <w:szCs w:val="24"/>
        </w:rPr>
        <w:t>For Regulatory Agreements using form version HUD-92466 (11/2002) or earlier: “Owners shall maintain the mortgaged premises, accommodations and the grounds and equipment appurtenant thereto, in good repair and condition.”</w:t>
      </w:r>
      <w:r w:rsidR="00663112" w:rsidRPr="00663112">
        <w:rPr>
          <w:rFonts w:eastAsia="Times New Roman" w:cs="Arial"/>
          <w:szCs w:val="24"/>
        </w:rPr>
        <w:t xml:space="preserve">  </w:t>
      </w:r>
      <w:r w:rsidR="00663112" w:rsidRPr="00663112">
        <w:rPr>
          <w:rFonts w:cs="Arial"/>
          <w:szCs w:val="24"/>
        </w:rPr>
        <w:t xml:space="preserve">For Regulatory Agreements using form version HUD-92466M-11 (04/11) or later: The applicable standards can be found at Section 19, “Preservation, Management and Maintenance of the Mortgaged Property” </w:t>
      </w:r>
      <w:r w:rsidR="00663112" w:rsidRPr="00663112">
        <w:rPr>
          <w:rFonts w:cs="Arial"/>
          <w:i/>
          <w:iCs w:val="0"/>
          <w:szCs w:val="24"/>
        </w:rPr>
        <w:t>available at</w:t>
      </w:r>
      <w:r w:rsidR="00663112" w:rsidRPr="00663112">
        <w:rPr>
          <w:rFonts w:cs="Arial"/>
          <w:szCs w:val="24"/>
        </w:rPr>
        <w:t xml:space="preserve"> (</w:t>
      </w:r>
      <w:hyperlink r:id="rId12" w:history="1">
        <w:r w:rsidR="00663112" w:rsidRPr="00663112">
          <w:rPr>
            <w:rStyle w:val="Hyperlink"/>
            <w:rFonts w:cs="Arial"/>
            <w:szCs w:val="24"/>
          </w:rPr>
          <w:t>http://portal.hud.gov/hudportal/documents/huddoc?id=92466m.pdf</w:t>
        </w:r>
      </w:hyperlink>
    </w:p>
    <w:p w14:paraId="0BD7FE03" w14:textId="77777777" w:rsidR="00B57CCF" w:rsidRDefault="00C3471B" w:rsidP="00C3471B">
      <w:pPr>
        <w:pStyle w:val="Heading6"/>
        <w:numPr>
          <w:ilvl w:val="5"/>
          <w:numId w:val="29"/>
        </w:numPr>
      </w:pPr>
      <w:r w:rsidRPr="004312AA" w:rsidDel="00C3471B">
        <w:t xml:space="preserve"> </w:t>
      </w:r>
      <w:r w:rsidR="00B57CCF" w:rsidRPr="00F31A67">
        <w:t>HAP Contract:</w:t>
      </w:r>
      <w:r w:rsidR="00613FBD">
        <w:t xml:space="preserve"> </w:t>
      </w:r>
      <w:r w:rsidR="00B57CCF" w:rsidRPr="004312AA">
        <w:t>“Maintain and operate the project in a decent, safe, and sanitary manner.”</w:t>
      </w:r>
    </w:p>
    <w:p w14:paraId="0BD7FE04" w14:textId="77777777" w:rsidR="001820DF" w:rsidRDefault="001820DF" w:rsidP="00F31A67">
      <w:pPr>
        <w:pStyle w:val="HBaText0"/>
      </w:pPr>
    </w:p>
    <w:p w14:paraId="0BD7FE05" w14:textId="77777777" w:rsidR="00E13847" w:rsidRDefault="00E13847" w:rsidP="00E13847">
      <w:pPr>
        <w:pStyle w:val="HBaText0"/>
        <w:spacing w:after="0"/>
        <w:ind w:left="0"/>
      </w:pPr>
      <w:r>
        <w:tab/>
      </w:r>
      <w:r>
        <w:tab/>
        <w:t xml:space="preserve">     ii)   </w:t>
      </w:r>
      <w:r w:rsidR="00B57CCF" w:rsidRPr="009E6DF6">
        <w:t>By regulation, projects that meet the uniform physical conditions standards</w:t>
      </w:r>
    </w:p>
    <w:p w14:paraId="0BD7FE06" w14:textId="77777777" w:rsidR="00E13847" w:rsidRDefault="00E13847" w:rsidP="00E13847">
      <w:pPr>
        <w:pStyle w:val="HBaText0"/>
        <w:spacing w:after="0"/>
        <w:ind w:left="360"/>
      </w:pPr>
      <w:r>
        <w:tab/>
      </w:r>
      <w:r>
        <w:tab/>
      </w:r>
      <w:r w:rsidR="00B57CCF" w:rsidRPr="009E6DF6">
        <w:t xml:space="preserve">are deemed “decent, safe, sanitary and in good repair.” (See 24 </w:t>
      </w:r>
      <w:r w:rsidR="00B57CCF">
        <w:t>CFR</w:t>
      </w:r>
      <w:r w:rsidR="00B57CCF" w:rsidRPr="009E6DF6">
        <w:t xml:space="preserve"> </w:t>
      </w:r>
      <w:r w:rsidR="00B57CCF">
        <w:t>§</w:t>
      </w:r>
    </w:p>
    <w:p w14:paraId="0BD7FE07" w14:textId="77777777" w:rsidR="00B57CCF" w:rsidRDefault="00E13847" w:rsidP="00E13847">
      <w:pPr>
        <w:pStyle w:val="HBaText0"/>
        <w:spacing w:after="0"/>
        <w:ind w:left="360"/>
      </w:pPr>
      <w:r>
        <w:tab/>
      </w:r>
      <w:r>
        <w:tab/>
      </w:r>
      <w:r w:rsidR="00B57CCF" w:rsidRPr="009E6DF6">
        <w:t>5.703)</w:t>
      </w:r>
      <w:r w:rsidR="000310FF">
        <w:t>.</w:t>
      </w:r>
      <w:r w:rsidR="00613FBD">
        <w:t xml:space="preserve"> </w:t>
      </w:r>
    </w:p>
    <w:p w14:paraId="0BD7FE08" w14:textId="77777777" w:rsidR="00B57CCF" w:rsidRDefault="00B57CCF" w:rsidP="00F31A67">
      <w:pPr>
        <w:pStyle w:val="HB1Outline"/>
      </w:pPr>
      <w:r>
        <w:t xml:space="preserve">Owners must also comply with the </w:t>
      </w:r>
      <w:r w:rsidRPr="00771627">
        <w:t>physical inspection requirements</w:t>
      </w:r>
      <w:r>
        <w:t xml:space="preserve"> set out in HUD’s regulations at 24 CFR § 200.855 (a).</w:t>
      </w:r>
      <w:r w:rsidR="00613FBD">
        <w:t xml:space="preserve"> </w:t>
      </w:r>
      <w:r>
        <w:t>R</w:t>
      </w:r>
      <w:r w:rsidRPr="00B644D7">
        <w:t>EAC has standardized the physical inspection process</w:t>
      </w:r>
      <w:r>
        <w:t xml:space="preserve"> for </w:t>
      </w:r>
      <w:r w:rsidR="000310FF">
        <w:t>MFH</w:t>
      </w:r>
      <w:r>
        <w:t xml:space="preserve"> projects</w:t>
      </w:r>
      <w:r w:rsidRPr="00B644D7">
        <w:t>.</w:t>
      </w:r>
      <w:r w:rsidR="00613FBD">
        <w:t xml:space="preserve"> </w:t>
      </w:r>
      <w:r w:rsidRPr="00B644D7">
        <w:t xml:space="preserve">The REAC inspection reports describe the deficiencies discovered in </w:t>
      </w:r>
      <w:r>
        <w:t>the</w:t>
      </w:r>
      <w:r w:rsidRPr="00B644D7">
        <w:t xml:space="preserve"> inspection</w:t>
      </w:r>
      <w:r>
        <w:t xml:space="preserve"> and establish a score. Scoring ranges from one to 100; a score of 100 is the highest score possible</w:t>
      </w:r>
      <w:r w:rsidRPr="00B644D7">
        <w:t>.</w:t>
      </w:r>
      <w:r w:rsidR="00613FBD">
        <w:t xml:space="preserve"> </w:t>
      </w:r>
      <w:r>
        <w:t xml:space="preserve">A low REAC score </w:t>
      </w:r>
      <w:r w:rsidR="001E037F">
        <w:t>indicates that a property</w:t>
      </w:r>
      <w:r>
        <w:t xml:space="preserve"> may not comply with the applicable physical condition</w:t>
      </w:r>
      <w:r w:rsidR="00663112">
        <w:t xml:space="preserve"> standard.</w:t>
      </w:r>
      <w:r>
        <w:t xml:space="preserve"> Owners may challenge their REAC score by requesting a technical review or a database adjustment.</w:t>
      </w:r>
      <w:r w:rsidR="00613FBD">
        <w:t xml:space="preserve"> </w:t>
      </w:r>
      <w:r>
        <w:t>REAC must receive the owner’s request for a technical review in writing no later than 30 calendar days from the date the inspection report is issued to the owner.</w:t>
      </w:r>
      <w:r w:rsidR="00613FBD">
        <w:t xml:space="preserve"> </w:t>
      </w:r>
      <w:r>
        <w:t xml:space="preserve">An owner may submit a request for </w:t>
      </w:r>
      <w:r w:rsidR="00552C81">
        <w:t xml:space="preserve">a database </w:t>
      </w:r>
      <w:r>
        <w:t xml:space="preserve">adjustment prior to the inspection and up to 45 days from the submission of the </w:t>
      </w:r>
      <w:r w:rsidR="00CA45AA">
        <w:t xml:space="preserve">inspection report. (See 24 CFR </w:t>
      </w:r>
      <w:r>
        <w:t>§</w:t>
      </w:r>
      <w:r w:rsidR="00CA45AA">
        <w:t xml:space="preserve"> </w:t>
      </w:r>
      <w:r>
        <w:t>200.857(d) and (e).)</w:t>
      </w:r>
    </w:p>
    <w:p w14:paraId="0BD7FE09" w14:textId="77777777" w:rsidR="000C448E" w:rsidRDefault="000C448E" w:rsidP="000C448E">
      <w:pPr>
        <w:autoSpaceDE w:val="0"/>
        <w:autoSpaceDN w:val="0"/>
        <w:adjustRightInd w:val="0"/>
        <w:spacing w:before="0" w:after="0"/>
        <w:ind w:left="0"/>
        <w:rPr>
          <w:rFonts w:cs="Arial"/>
          <w:szCs w:val="24"/>
        </w:rPr>
      </w:pPr>
    </w:p>
    <w:p w14:paraId="0BD7FE0A" w14:textId="77777777" w:rsidR="00B57CCF" w:rsidRPr="00B644D7" w:rsidRDefault="000C448E" w:rsidP="00771627">
      <w:pPr>
        <w:autoSpaceDE w:val="0"/>
        <w:autoSpaceDN w:val="0"/>
        <w:adjustRightInd w:val="0"/>
        <w:spacing w:before="0" w:after="0"/>
        <w:ind w:left="1080"/>
      </w:pPr>
      <w:r w:rsidRPr="00771627">
        <w:rPr>
          <w:rFonts w:cs="Arial"/>
          <w:szCs w:val="24"/>
        </w:rPr>
        <w:t>Section 230 of the Consolidated Appropriations Act of 2014 and Section 226 of HUD’s</w:t>
      </w:r>
      <w:r w:rsidR="00862F43">
        <w:rPr>
          <w:rFonts w:cs="Arial"/>
          <w:szCs w:val="24"/>
        </w:rPr>
        <w:t xml:space="preserve"> </w:t>
      </w:r>
      <w:r w:rsidRPr="00771627">
        <w:rPr>
          <w:rFonts w:cs="Arial"/>
          <w:szCs w:val="24"/>
        </w:rPr>
        <w:t>Fiscal Year 2015 Appropriations Act</w:t>
      </w:r>
      <w:r w:rsidR="00862F43">
        <w:rPr>
          <w:rStyle w:val="FootnoteReference"/>
          <w:rFonts w:cs="Arial"/>
          <w:szCs w:val="24"/>
        </w:rPr>
        <w:footnoteReference w:id="2"/>
      </w:r>
      <w:r w:rsidRPr="00771627">
        <w:rPr>
          <w:rFonts w:cs="Arial"/>
          <w:szCs w:val="24"/>
        </w:rPr>
        <w:t xml:space="preserve"> require the Department to take certain steps in cases when</w:t>
      </w:r>
      <w:r>
        <w:rPr>
          <w:rFonts w:cs="Arial"/>
          <w:szCs w:val="24"/>
        </w:rPr>
        <w:t xml:space="preserve"> </w:t>
      </w:r>
      <w:r w:rsidRPr="00771627">
        <w:rPr>
          <w:rFonts w:cs="Arial"/>
          <w:szCs w:val="24"/>
        </w:rPr>
        <w:t>a multifamily housing property receives a score of 59 or below on a Real Estate Assessment</w:t>
      </w:r>
      <w:r>
        <w:rPr>
          <w:rFonts w:cs="Arial"/>
          <w:szCs w:val="24"/>
        </w:rPr>
        <w:t xml:space="preserve"> </w:t>
      </w:r>
      <w:r w:rsidRPr="00771627">
        <w:rPr>
          <w:rFonts w:cs="Arial"/>
          <w:szCs w:val="24"/>
        </w:rPr>
        <w:t>Center (REAC) physical inspection report.</w:t>
      </w:r>
      <w:r>
        <w:rPr>
          <w:rFonts w:cs="Arial"/>
          <w:szCs w:val="24"/>
        </w:rPr>
        <w:t xml:space="preserve">  </w:t>
      </w:r>
      <w:r w:rsidR="00003587">
        <w:rPr>
          <w:rFonts w:cs="Arial"/>
          <w:szCs w:val="24"/>
        </w:rPr>
        <w:t xml:space="preserve">An inspection score of 59 or below shows that the project does not comply with </w:t>
      </w:r>
      <w:r w:rsidR="007E7797">
        <w:rPr>
          <w:rFonts w:cs="Arial"/>
          <w:szCs w:val="24"/>
        </w:rPr>
        <w:t>the</w:t>
      </w:r>
      <w:r w:rsidR="00003587">
        <w:rPr>
          <w:rFonts w:cs="Arial"/>
          <w:szCs w:val="24"/>
        </w:rPr>
        <w:t xml:space="preserve"> required physical condition standard. </w:t>
      </w:r>
      <w:r>
        <w:rPr>
          <w:rFonts w:cs="Arial"/>
          <w:szCs w:val="24"/>
        </w:rPr>
        <w:t xml:space="preserve">See Housing Notice H 2015-02, and all superseding notices, for the procedures to follow </w:t>
      </w:r>
      <w:r w:rsidR="00862F43">
        <w:rPr>
          <w:rFonts w:cs="Arial"/>
          <w:szCs w:val="24"/>
        </w:rPr>
        <w:t xml:space="preserve">to comply with these requirements.  </w:t>
      </w:r>
      <w:r w:rsidR="00B57CCF">
        <w:t xml:space="preserve">Properties scoring 30 points or less on their REAC inspection will </w:t>
      </w:r>
      <w:r w:rsidR="00862F43">
        <w:t xml:space="preserve">continue to </w:t>
      </w:r>
      <w:r w:rsidR="00B57CCF">
        <w:t>be referred to the DEC.</w:t>
      </w:r>
      <w:r w:rsidR="00613FBD">
        <w:t xml:space="preserve"> </w:t>
      </w:r>
      <w:r w:rsidR="00B57CCF">
        <w:t xml:space="preserve">The </w:t>
      </w:r>
      <w:r w:rsidR="00163507">
        <w:t>MFH</w:t>
      </w:r>
      <w:r w:rsidR="00B57CCF">
        <w:t xml:space="preserve"> may </w:t>
      </w:r>
      <w:r w:rsidR="00862F43">
        <w:t xml:space="preserve">continue to </w:t>
      </w:r>
      <w:r w:rsidR="00B57CCF">
        <w:t>make elective referrals to the DEC of any project based on poor physical condition, regardless of the REAC score.</w:t>
      </w:r>
      <w:r w:rsidR="00613FBD">
        <w:t xml:space="preserve"> </w:t>
      </w:r>
    </w:p>
    <w:p w14:paraId="0BD7FE0B" w14:textId="77777777" w:rsidR="00B57CCF" w:rsidRDefault="00B57CCF" w:rsidP="00663112">
      <w:pPr>
        <w:pStyle w:val="Heading5"/>
        <w:keepNext/>
        <w:numPr>
          <w:ilvl w:val="4"/>
          <w:numId w:val="30"/>
        </w:numPr>
      </w:pPr>
      <w:r>
        <w:t>Financial Requirements</w:t>
      </w:r>
    </w:p>
    <w:p w14:paraId="0BD7FE0C" w14:textId="77777777" w:rsidR="00B57CCF" w:rsidRDefault="00B57CCF" w:rsidP="001E037F">
      <w:pPr>
        <w:pStyle w:val="level5text"/>
        <w:keepNext/>
      </w:pPr>
      <w:r>
        <w:t xml:space="preserve">HUD requires </w:t>
      </w:r>
      <w:r w:rsidR="00CA45AA">
        <w:t>MFH</w:t>
      </w:r>
      <w:r>
        <w:t xml:space="preserve"> borrowers to establish and maintain financial accounts and records for the project, although the language in the Regulatory Agreement may vary from one version to another. Some HAP Contracts do not have specific requirements for the owner to maintain financial accounts and may not even require the submission of financial statements to HUD.</w:t>
      </w:r>
      <w:r w:rsidR="00613FBD">
        <w:t xml:space="preserve"> </w:t>
      </w:r>
      <w:r>
        <w:t>Thus, depending on the business agreements at issue the financial requirements for an owner may vary.</w:t>
      </w:r>
    </w:p>
    <w:p w14:paraId="0BD7FE0D" w14:textId="77777777" w:rsidR="00B57CCF" w:rsidRDefault="00B57CCF" w:rsidP="00537D84">
      <w:pPr>
        <w:pStyle w:val="level5text"/>
      </w:pPr>
      <w:r>
        <w:t xml:space="preserve">Nonetheless, REAC reviews the </w:t>
      </w:r>
      <w:r w:rsidR="00B51031">
        <w:t>AFSs</w:t>
      </w:r>
      <w:r>
        <w:t xml:space="preserve"> to determine whether the owner has complied with HUD requirements.</w:t>
      </w:r>
      <w:r w:rsidR="00613FBD">
        <w:t xml:space="preserve"> </w:t>
      </w:r>
      <w:r>
        <w:t>REAC’s review of the financial statements could reveal any of the following compliance issues:</w:t>
      </w:r>
    </w:p>
    <w:p w14:paraId="0BD7FE0E" w14:textId="77777777" w:rsidR="00B57CCF" w:rsidRDefault="00B57CCF" w:rsidP="00FD4FA3">
      <w:pPr>
        <w:pStyle w:val="Heading6"/>
        <w:numPr>
          <w:ilvl w:val="5"/>
          <w:numId w:val="31"/>
        </w:numPr>
      </w:pPr>
      <w:r>
        <w:t>Adverse, disclaimed or qualified audit opinion;</w:t>
      </w:r>
    </w:p>
    <w:p w14:paraId="0BD7FE0F" w14:textId="77777777" w:rsidR="00B57CCF" w:rsidRDefault="00B57CCF" w:rsidP="00FD4FA3">
      <w:pPr>
        <w:pStyle w:val="Heading6"/>
        <w:numPr>
          <w:ilvl w:val="5"/>
          <w:numId w:val="31"/>
        </w:numPr>
      </w:pPr>
      <w:r>
        <w:t xml:space="preserve">Failure to make deposits to the </w:t>
      </w:r>
      <w:r w:rsidR="00CA45AA">
        <w:t>RfR</w:t>
      </w:r>
      <w:r>
        <w:t xml:space="preserve"> account;</w:t>
      </w:r>
    </w:p>
    <w:p w14:paraId="0BD7FE10" w14:textId="77777777" w:rsidR="00B57CCF" w:rsidRDefault="00B57CCF" w:rsidP="00FD4FA3">
      <w:pPr>
        <w:pStyle w:val="Heading6"/>
        <w:numPr>
          <w:ilvl w:val="5"/>
          <w:numId w:val="31"/>
        </w:numPr>
      </w:pPr>
      <w:r>
        <w:t xml:space="preserve">Unauthorized withdrawals from the </w:t>
      </w:r>
      <w:r w:rsidR="00CA45AA">
        <w:t>RfR</w:t>
      </w:r>
      <w:r>
        <w:t xml:space="preserve"> account;</w:t>
      </w:r>
    </w:p>
    <w:p w14:paraId="0BD7FE11" w14:textId="77777777" w:rsidR="00B57CCF" w:rsidRDefault="00B57CCF" w:rsidP="00FD4FA3">
      <w:pPr>
        <w:pStyle w:val="Heading6"/>
        <w:numPr>
          <w:ilvl w:val="5"/>
          <w:numId w:val="31"/>
        </w:numPr>
      </w:pPr>
      <w:r>
        <w:t xml:space="preserve">Failure to properly invest </w:t>
      </w:r>
      <w:r w:rsidR="00CA45AA">
        <w:t>RfR</w:t>
      </w:r>
      <w:r>
        <w:t xml:space="preserve"> funds;</w:t>
      </w:r>
    </w:p>
    <w:p w14:paraId="0BD7FE12" w14:textId="77777777" w:rsidR="00B57CCF" w:rsidRDefault="00B57CCF" w:rsidP="00FD4FA3">
      <w:pPr>
        <w:pStyle w:val="Heading6"/>
        <w:numPr>
          <w:ilvl w:val="5"/>
          <w:numId w:val="31"/>
        </w:numPr>
      </w:pPr>
      <w:r>
        <w:t>Failure to make deposits to the residual receipts account;</w:t>
      </w:r>
    </w:p>
    <w:p w14:paraId="0BD7FE13" w14:textId="77777777" w:rsidR="00B57CCF" w:rsidRDefault="00B57CCF" w:rsidP="00FD4FA3">
      <w:pPr>
        <w:pStyle w:val="Heading6"/>
        <w:numPr>
          <w:ilvl w:val="5"/>
          <w:numId w:val="31"/>
        </w:numPr>
      </w:pPr>
      <w:r>
        <w:t>Unauthorized withdrawals from the residual receipts account;</w:t>
      </w:r>
    </w:p>
    <w:p w14:paraId="0BD7FE14" w14:textId="77777777" w:rsidR="00B57CCF" w:rsidRDefault="00B57CCF" w:rsidP="00FD4FA3">
      <w:pPr>
        <w:pStyle w:val="Heading6"/>
        <w:numPr>
          <w:ilvl w:val="5"/>
          <w:numId w:val="31"/>
        </w:numPr>
      </w:pPr>
      <w:r>
        <w:t>Underfunded security deposit accounts;</w:t>
      </w:r>
    </w:p>
    <w:p w14:paraId="0BD7FE15" w14:textId="77777777" w:rsidR="00B57CCF" w:rsidRDefault="00B57CCF" w:rsidP="00FD4FA3">
      <w:pPr>
        <w:pStyle w:val="Heading6"/>
        <w:numPr>
          <w:ilvl w:val="5"/>
          <w:numId w:val="31"/>
        </w:numPr>
      </w:pPr>
      <w:r>
        <w:t>Commingling of funds;</w:t>
      </w:r>
    </w:p>
    <w:p w14:paraId="0BD7FE16" w14:textId="77777777" w:rsidR="00B57CCF" w:rsidRDefault="00B57CCF" w:rsidP="00FD4FA3">
      <w:pPr>
        <w:pStyle w:val="Heading6"/>
        <w:numPr>
          <w:ilvl w:val="5"/>
          <w:numId w:val="31"/>
        </w:numPr>
      </w:pPr>
      <w:r>
        <w:t>Acquisition of liabilities which encumber project assets;</w:t>
      </w:r>
    </w:p>
    <w:p w14:paraId="0BD7FE17" w14:textId="77777777" w:rsidR="00B57CCF" w:rsidRDefault="00B57CCF" w:rsidP="00FD4FA3">
      <w:pPr>
        <w:pStyle w:val="Heading6"/>
        <w:numPr>
          <w:ilvl w:val="5"/>
          <w:numId w:val="31"/>
        </w:numPr>
      </w:pPr>
      <w:r>
        <w:t>Unauthorized loans from project funds;</w:t>
      </w:r>
    </w:p>
    <w:p w14:paraId="0BD7FE18" w14:textId="77777777" w:rsidR="00B57CCF" w:rsidRDefault="00B57CCF" w:rsidP="00FD4FA3">
      <w:pPr>
        <w:pStyle w:val="Heading6"/>
        <w:numPr>
          <w:ilvl w:val="5"/>
          <w:numId w:val="31"/>
        </w:numPr>
      </w:pPr>
      <w:r>
        <w:t>Unauthorized management fees;</w:t>
      </w:r>
    </w:p>
    <w:p w14:paraId="0BD7FE19" w14:textId="77777777" w:rsidR="00B57CCF" w:rsidRDefault="00B57CCF" w:rsidP="00FD4FA3">
      <w:pPr>
        <w:pStyle w:val="Heading6"/>
        <w:numPr>
          <w:ilvl w:val="5"/>
          <w:numId w:val="31"/>
        </w:numPr>
      </w:pPr>
      <w:r>
        <w:t>Unauthorized disposal of project assets;</w:t>
      </w:r>
    </w:p>
    <w:p w14:paraId="0BD7FE1A" w14:textId="77777777" w:rsidR="00B57CCF" w:rsidRDefault="00B57CCF" w:rsidP="00FD4FA3">
      <w:pPr>
        <w:pStyle w:val="Heading6"/>
        <w:numPr>
          <w:ilvl w:val="5"/>
          <w:numId w:val="31"/>
        </w:numPr>
      </w:pPr>
      <w:r>
        <w:t>Failure to make mortgage payments timely; and/or</w:t>
      </w:r>
    </w:p>
    <w:p w14:paraId="0BD7FE1B" w14:textId="77777777" w:rsidR="00B57CCF" w:rsidRDefault="00B57CCF" w:rsidP="00FD4FA3">
      <w:pPr>
        <w:pStyle w:val="Heading6"/>
        <w:numPr>
          <w:ilvl w:val="5"/>
          <w:numId w:val="31"/>
        </w:numPr>
      </w:pPr>
      <w:r>
        <w:t>Unauthorized change in ownership.</w:t>
      </w:r>
    </w:p>
    <w:p w14:paraId="0BD7FE1C" w14:textId="77777777" w:rsidR="00B57CCF" w:rsidRDefault="00B57CCF" w:rsidP="00537D84">
      <w:pPr>
        <w:pStyle w:val="level5text"/>
      </w:pPr>
      <w:r>
        <w:t xml:space="preserve">Based on the Protocol, REAC will refer the project to </w:t>
      </w:r>
      <w:r w:rsidR="00CA45AA">
        <w:t>MFH</w:t>
      </w:r>
      <w:r>
        <w:t xml:space="preserve"> or the DEC for follow up on the compliance issues noted above. </w:t>
      </w:r>
    </w:p>
    <w:p w14:paraId="0BD7FE1D" w14:textId="77777777" w:rsidR="00B57CCF" w:rsidRDefault="00B57CCF" w:rsidP="00663112">
      <w:pPr>
        <w:pStyle w:val="Heading5"/>
        <w:keepNext/>
        <w:numPr>
          <w:ilvl w:val="4"/>
          <w:numId w:val="61"/>
        </w:numPr>
      </w:pPr>
      <w:r>
        <w:t xml:space="preserve">Requirement to </w:t>
      </w:r>
      <w:r w:rsidRPr="008C7146">
        <w:t>Subm</w:t>
      </w:r>
      <w:r>
        <w:t>it</w:t>
      </w:r>
      <w:r w:rsidRPr="008C7146">
        <w:t xml:space="preserve"> </w:t>
      </w:r>
      <w:r w:rsidR="00DC10A2">
        <w:t>AFS</w:t>
      </w:r>
    </w:p>
    <w:p w14:paraId="0BD7FE1E" w14:textId="77777777" w:rsidR="00B57CCF" w:rsidRDefault="00B57CCF" w:rsidP="00537D84">
      <w:pPr>
        <w:pStyle w:val="level5text"/>
      </w:pPr>
      <w:r w:rsidRPr="00172D44">
        <w:t xml:space="preserve">HUD’s </w:t>
      </w:r>
      <w:r>
        <w:t xml:space="preserve">regulations and business agreements with </w:t>
      </w:r>
      <w:r w:rsidR="00CA45AA">
        <w:t>MFH</w:t>
      </w:r>
      <w:r w:rsidRPr="00172D44">
        <w:t xml:space="preserve"> owners </w:t>
      </w:r>
      <w:r>
        <w:t xml:space="preserve">generally require the owner </w:t>
      </w:r>
      <w:r w:rsidRPr="00172D44">
        <w:t>to submit AFS to HUD.</w:t>
      </w:r>
      <w:r w:rsidR="00613FBD">
        <w:t xml:space="preserve"> </w:t>
      </w:r>
      <w:r>
        <w:t>Note, however, that some HAP contracts do not require owners to submit AFS to HUD.</w:t>
      </w:r>
    </w:p>
    <w:p w14:paraId="0BD7FE1F" w14:textId="77777777" w:rsidR="00B57CCF" w:rsidRDefault="00B57CCF" w:rsidP="00537D84">
      <w:pPr>
        <w:pStyle w:val="level5text"/>
      </w:pPr>
      <w:r w:rsidRPr="00172D44">
        <w:t>Prior to 1998, most HUD Regulatory Agreements and HAP Contracts required owners to submit AFS to HUD within sixty (60) days after the close of the project’</w:t>
      </w:r>
      <w:r>
        <w:t>s</w:t>
      </w:r>
      <w:r w:rsidRPr="00172D44">
        <w:t xml:space="preserve"> fiscal year end.</w:t>
      </w:r>
      <w:r w:rsidR="00613FBD">
        <w:t xml:space="preserve"> </w:t>
      </w:r>
      <w:r w:rsidRPr="00C00CB3">
        <w:t xml:space="preserve">Beginning with fiscal year end 1998, </w:t>
      </w:r>
      <w:r w:rsidRPr="00172D44">
        <w:t>HUD required o</w:t>
      </w:r>
      <w:r w:rsidRPr="00C00CB3">
        <w:t>wners to submit their financial statements electronically to REAC through the F</w:t>
      </w:r>
      <w:r w:rsidR="00371BA5">
        <w:t xml:space="preserve">inancial </w:t>
      </w:r>
      <w:r w:rsidRPr="00C00CB3">
        <w:t>A</w:t>
      </w:r>
      <w:r w:rsidR="00371BA5">
        <w:t xml:space="preserve">ssessment </w:t>
      </w:r>
      <w:r w:rsidRPr="00C00CB3">
        <w:t>S</w:t>
      </w:r>
      <w:r w:rsidR="00371BA5">
        <w:t>ubsystem (FAS</w:t>
      </w:r>
      <w:r w:rsidRPr="00C00CB3">
        <w:t>S</w:t>
      </w:r>
      <w:r w:rsidR="00371BA5">
        <w:t>)</w:t>
      </w:r>
      <w:r w:rsidRPr="00C00CB3">
        <w:t>.</w:t>
      </w:r>
      <w:r w:rsidR="00613FBD">
        <w:t xml:space="preserve"> </w:t>
      </w:r>
      <w:r w:rsidRPr="00C00CB3">
        <w:t xml:space="preserve">A final rule published in the March 27, 2000 </w:t>
      </w:r>
      <w:r w:rsidRPr="00C00CB3">
        <w:rPr>
          <w:u w:val="single"/>
        </w:rPr>
        <w:t>Federal Register</w:t>
      </w:r>
      <w:r w:rsidRPr="00C00CB3">
        <w:t xml:space="preserve">, effective April 26, 2000, changed the submission requirement from sixty (60) days to ninety (90) days after the close of the </w:t>
      </w:r>
      <w:r>
        <w:t>o</w:t>
      </w:r>
      <w:r w:rsidRPr="00C00CB3">
        <w:t>wners’ fiscal year end.</w:t>
      </w:r>
      <w:r w:rsidR="00F774E5">
        <w:t xml:space="preserve">  Notwithstanding the applicable business agreement requirements, however, and depending upon their annual federal awards, not-for-profit owners have different AFS filing requirements, which are discussed in more detail in the Annual Financial Statements chapter.  </w:t>
      </w:r>
      <w:r w:rsidRPr="00C00CB3">
        <w:t xml:space="preserve">If an AFS is not submitted within </w:t>
      </w:r>
      <w:r w:rsidR="00A13888">
        <w:t>10 days</w:t>
      </w:r>
      <w:r w:rsidRPr="00C00CB3">
        <w:t xml:space="preserve"> after the </w:t>
      </w:r>
      <w:r w:rsidRPr="00172D44">
        <w:t>o</w:t>
      </w:r>
      <w:r>
        <w:t>wner</w:t>
      </w:r>
      <w:r w:rsidRPr="00C00CB3">
        <w:t>’</w:t>
      </w:r>
      <w:r>
        <w:t>s</w:t>
      </w:r>
      <w:r w:rsidRPr="00C00CB3">
        <w:t xml:space="preserve"> fiscal year end, REAC sends an email to the </w:t>
      </w:r>
      <w:r>
        <w:t>o</w:t>
      </w:r>
      <w:r w:rsidRPr="00C00CB3">
        <w:t xml:space="preserve">wner indicating that the AFS is late and giving </w:t>
      </w:r>
      <w:r>
        <w:t>the owner</w:t>
      </w:r>
      <w:r w:rsidRPr="00C00CB3">
        <w:t xml:space="preserve"> an additional thirty (30) days to electronically submit their AFS to REAC.</w:t>
      </w:r>
      <w:r w:rsidR="00613FBD">
        <w:t xml:space="preserve"> </w:t>
      </w:r>
      <w:r w:rsidRPr="00C00CB3">
        <w:t xml:space="preserve">If the AFS is not submitted to REAC </w:t>
      </w:r>
      <w:r>
        <w:t xml:space="preserve">by the </w:t>
      </w:r>
      <w:r w:rsidR="00A13888">
        <w:t>30</w:t>
      </w:r>
      <w:r w:rsidR="00A13888" w:rsidRPr="00CA45AA">
        <w:rPr>
          <w:vertAlign w:val="superscript"/>
        </w:rPr>
        <w:t>th</w:t>
      </w:r>
      <w:r w:rsidR="00A13888">
        <w:t xml:space="preserve"> </w:t>
      </w:r>
      <w:r>
        <w:t>day</w:t>
      </w:r>
      <w:r w:rsidRPr="00C00CB3">
        <w:t xml:space="preserve">, </w:t>
      </w:r>
      <w:r>
        <w:t>then REAC refers the p</w:t>
      </w:r>
      <w:r w:rsidRPr="00C00CB3">
        <w:t>roject to the DEC</w:t>
      </w:r>
      <w:r>
        <w:t xml:space="preserve"> through iREMS</w:t>
      </w:r>
      <w:r w:rsidRPr="00C00CB3">
        <w:t>.</w:t>
      </w:r>
      <w:r w:rsidR="00613FBD">
        <w:t xml:space="preserve"> </w:t>
      </w:r>
    </w:p>
    <w:p w14:paraId="0BD7FE20" w14:textId="0742E475" w:rsidR="00771627" w:rsidRPr="00DF44B6" w:rsidRDefault="00771627" w:rsidP="00537D84">
      <w:pPr>
        <w:pStyle w:val="level5text"/>
      </w:pPr>
      <w:r>
        <w:t xml:space="preserve">For other information about the AFS filing requirements, see the separate chapter on Annual Financial Statements at </w:t>
      </w:r>
      <w:r w:rsidR="00DF44B6" w:rsidRPr="00DF44B6">
        <w:t xml:space="preserve">Chapter 2.01 Financial Statements. </w:t>
      </w:r>
    </w:p>
    <w:p w14:paraId="0BD7FE21" w14:textId="77777777" w:rsidR="00B57CCF" w:rsidRDefault="00B57CCF" w:rsidP="00663112">
      <w:pPr>
        <w:pStyle w:val="Heading5"/>
        <w:numPr>
          <w:ilvl w:val="4"/>
          <w:numId w:val="61"/>
        </w:numPr>
      </w:pPr>
      <w:r>
        <w:t>Other Requirements</w:t>
      </w:r>
    </w:p>
    <w:p w14:paraId="0BD7FE22" w14:textId="77777777" w:rsidR="00B57CCF" w:rsidRDefault="00B57CCF" w:rsidP="00663112">
      <w:pPr>
        <w:pStyle w:val="Heading6"/>
        <w:numPr>
          <w:ilvl w:val="5"/>
          <w:numId w:val="61"/>
        </w:numPr>
      </w:pPr>
      <w:r>
        <w:t>Management Acceptable to HUD</w:t>
      </w:r>
    </w:p>
    <w:p w14:paraId="0BD7FE23" w14:textId="77777777" w:rsidR="00B57CCF" w:rsidRDefault="00B57CCF" w:rsidP="00537D84">
      <w:pPr>
        <w:pStyle w:val="level6text"/>
      </w:pPr>
      <w:r>
        <w:t xml:space="preserve">HUD has an interest in assuring that the </w:t>
      </w:r>
      <w:r w:rsidR="00663112">
        <w:t>properties in the MFH portfolio</w:t>
      </w:r>
      <w:r>
        <w:t xml:space="preserve"> are managed properly.</w:t>
      </w:r>
      <w:r w:rsidR="00613FBD">
        <w:t xml:space="preserve"> </w:t>
      </w:r>
      <w:r w:rsidR="00663112">
        <w:t>For projects with HUD-insured and HUD-held mortgages, the f</w:t>
      </w:r>
      <w:r>
        <w:t>ailure to provide acceptable management for the project is one of the statutory bases for civil money penalties</w:t>
      </w:r>
      <w:r w:rsidR="00613FBD">
        <w:t xml:space="preserve"> </w:t>
      </w:r>
      <w:r>
        <w:t>(</w:t>
      </w:r>
      <w:r w:rsidR="00CA45AA">
        <w:t>s</w:t>
      </w:r>
      <w:r>
        <w:t>ee 12 U.S.C</w:t>
      </w:r>
      <w:r w:rsidR="007218C9">
        <w:t>.</w:t>
      </w:r>
      <w:r>
        <w:t xml:space="preserve"> §</w:t>
      </w:r>
      <w:r w:rsidR="00384DCD">
        <w:t xml:space="preserve"> </w:t>
      </w:r>
      <w:r>
        <w:t>1735f-15 (c)(1)(B)(xiv))</w:t>
      </w:r>
      <w:r w:rsidR="00CA45AA">
        <w:t>.</w:t>
      </w:r>
      <w:r w:rsidR="00613FBD">
        <w:t xml:space="preserve"> </w:t>
      </w:r>
      <w:r>
        <w:t xml:space="preserve">Often, </w:t>
      </w:r>
      <w:r w:rsidR="008D325E">
        <w:t xml:space="preserve">the Regulatory Agreement requires the owner’s contract with a management agent to include a provision allowing HUD to terminate the contract with or without cause.  The Account Executive may invoke this provision and direct the mortgagor of a poorly managed project to change </w:t>
      </w:r>
      <w:r>
        <w:t>management agents or to hire a management agent (in cases of self-management) to protect HUD’s interest in the operations of the FHA-insured asset.</w:t>
      </w:r>
      <w:r w:rsidR="00613FBD">
        <w:t xml:space="preserve"> </w:t>
      </w:r>
    </w:p>
    <w:p w14:paraId="0BD7FE24" w14:textId="77777777" w:rsidR="00B57CCF" w:rsidRPr="001D6641" w:rsidRDefault="00B57CCF" w:rsidP="00A426D5">
      <w:pPr>
        <w:pStyle w:val="Heading6"/>
        <w:numPr>
          <w:ilvl w:val="5"/>
          <w:numId w:val="61"/>
        </w:numPr>
      </w:pPr>
      <w:r>
        <w:t xml:space="preserve">Allow </w:t>
      </w:r>
      <w:r w:rsidRPr="001D6641">
        <w:t>Tenants</w:t>
      </w:r>
      <w:r>
        <w:t xml:space="preserve"> the Right to Organiz</w:t>
      </w:r>
      <w:r w:rsidRPr="001D6641">
        <w:t>e</w:t>
      </w:r>
    </w:p>
    <w:p w14:paraId="0BD7FE25" w14:textId="77777777" w:rsidR="00B57CCF" w:rsidRPr="00A13888" w:rsidRDefault="00B57CCF" w:rsidP="00A13888">
      <w:pPr>
        <w:pStyle w:val="level6text"/>
      </w:pPr>
      <w:r w:rsidRPr="00A13888">
        <w:t xml:space="preserve">Pursuant to 24 CFR Part 245, </w:t>
      </w:r>
      <w:r w:rsidR="00CA45AA">
        <w:t>S</w:t>
      </w:r>
      <w:r w:rsidRPr="00A13888">
        <w:t>ubpart B, mortgagors must allow tenants the right to establish and operate a legitimate tenant organization.</w:t>
      </w:r>
      <w:r w:rsidR="00613FBD" w:rsidRPr="00A13888">
        <w:t xml:space="preserve"> </w:t>
      </w:r>
      <w:r w:rsidRPr="00A13888">
        <w:t>Such mortgagors must recognize legitimate tenant organizations and give reasonable consideration to the concerns raised by such organizations (</w:t>
      </w:r>
      <w:r w:rsidR="00CA45AA">
        <w:t>s</w:t>
      </w:r>
      <w:r w:rsidRPr="00A13888">
        <w:t>ee 24 CFR §</w:t>
      </w:r>
      <w:r w:rsidR="00CA45AA">
        <w:t xml:space="preserve"> </w:t>
      </w:r>
      <w:r w:rsidRPr="00A13888">
        <w:t>245.100 and 245.105)</w:t>
      </w:r>
      <w:r w:rsidR="00CA45AA">
        <w:t>.</w:t>
      </w:r>
      <w:r w:rsidR="00613FBD" w:rsidRPr="00A13888">
        <w:t xml:space="preserve"> </w:t>
      </w:r>
      <w:r w:rsidRPr="00A13888">
        <w:t>Owners and their agents must allow tenants to distribute leaflets under tenant doors and in common areas, to post information on bulletin boards, and to convene regular meetings in a manner fully independent of the management</w:t>
      </w:r>
      <w:r w:rsidR="00613FBD" w:rsidRPr="00A13888">
        <w:t xml:space="preserve"> </w:t>
      </w:r>
      <w:r w:rsidRPr="00A13888">
        <w:t>(</w:t>
      </w:r>
      <w:r w:rsidR="003F33DE">
        <w:t>s</w:t>
      </w:r>
      <w:r w:rsidRPr="00A13888">
        <w:t>ee 24 CFR §</w:t>
      </w:r>
      <w:r w:rsidR="00CA45AA">
        <w:t xml:space="preserve"> </w:t>
      </w:r>
      <w:r w:rsidRPr="00A13888">
        <w:t>245.115)</w:t>
      </w:r>
      <w:r w:rsidR="003F33DE">
        <w:t>.</w:t>
      </w:r>
      <w:r w:rsidR="00613FBD" w:rsidRPr="00A13888">
        <w:t xml:space="preserve"> </w:t>
      </w:r>
      <w:r w:rsidRPr="00A13888">
        <w:t>Owners, management agents, principals, or affiliates of projects with an insured and assisted mortgage described in 24 CFR §</w:t>
      </w:r>
      <w:r w:rsidR="00CA45AA">
        <w:t xml:space="preserve"> </w:t>
      </w:r>
      <w:r w:rsidRPr="00A13888">
        <w:t>245.10(a)(1) who violate any provision of 24 CFR Part 245, Subpart B, are subject to enforcement sanctions, such as debarments, suspensions, limited denials of participation</w:t>
      </w:r>
      <w:r w:rsidR="008E6FF4">
        <w:t xml:space="preserve"> (</w:t>
      </w:r>
      <w:r w:rsidR="00CA45AA">
        <w:t>LDP</w:t>
      </w:r>
      <w:r w:rsidR="008E6FF4">
        <w:t>)</w:t>
      </w:r>
      <w:r w:rsidRPr="00A13888">
        <w:t xml:space="preserve"> and civil money penalties.</w:t>
      </w:r>
    </w:p>
    <w:p w14:paraId="0BD7FE26" w14:textId="77777777" w:rsidR="00B57CCF" w:rsidRPr="001D6641" w:rsidRDefault="00B57CCF" w:rsidP="00A426D5">
      <w:pPr>
        <w:pStyle w:val="Heading6"/>
        <w:numPr>
          <w:ilvl w:val="5"/>
          <w:numId w:val="61"/>
        </w:numPr>
      </w:pPr>
      <w:r>
        <w:t>Use Agreement Restrictions</w:t>
      </w:r>
    </w:p>
    <w:p w14:paraId="0BD7FE27" w14:textId="77777777" w:rsidR="00B57CCF" w:rsidRPr="00C00CB3" w:rsidRDefault="00B57CCF" w:rsidP="00537D84">
      <w:pPr>
        <w:pStyle w:val="level6text"/>
      </w:pPr>
      <w:r>
        <w:t>HUD requires owners to enter Use Agreements upon the purchase of a HUD owned property at a property disposition sale.</w:t>
      </w:r>
      <w:r w:rsidR="00613FBD">
        <w:t xml:space="preserve"> </w:t>
      </w:r>
      <w:r>
        <w:t>In certain cases, HUD will require the execution of a Use Agreement</w:t>
      </w:r>
      <w:r w:rsidR="00613FBD">
        <w:t xml:space="preserve"> </w:t>
      </w:r>
      <w:r>
        <w:t>upon an owner’s prepayment of an insured loan prior to the expiration of the loan’s original term.</w:t>
      </w:r>
      <w:r w:rsidR="00613FBD">
        <w:t xml:space="preserve"> </w:t>
      </w:r>
      <w:r>
        <w:t>In addition, HUD required some owners to enter into Use Agreements as a condition for receiving a flexible subsidy loan.</w:t>
      </w:r>
      <w:r w:rsidR="00613FBD">
        <w:t xml:space="preserve"> </w:t>
      </w:r>
      <w:r>
        <w:t>The terms of the Use Agreements may vary from one to another.</w:t>
      </w:r>
      <w:r w:rsidR="00613FBD">
        <w:t xml:space="preserve"> </w:t>
      </w:r>
      <w:r>
        <w:t xml:space="preserve">However, most Use Agreements </w:t>
      </w:r>
      <w:r w:rsidR="008D325E">
        <w:t xml:space="preserve">contain rental use and/or affordability restrictions for some or all of the unis in the project as well as a requirement that the owner annually certify that it is in compliance with all applicable obligations. </w:t>
      </w:r>
      <w:r>
        <w:t>Some Use Agreements may require the owner to submit financial statements to HUD.</w:t>
      </w:r>
      <w:r w:rsidR="00613FBD">
        <w:t xml:space="preserve"> </w:t>
      </w:r>
      <w:r>
        <w:t xml:space="preserve">See the </w:t>
      </w:r>
      <w:r w:rsidR="000F6B57">
        <w:t>c</w:t>
      </w:r>
      <w:r>
        <w:t>hapter on Use Agreements for additional information.</w:t>
      </w:r>
    </w:p>
    <w:p w14:paraId="0BD7FE28" w14:textId="77777777" w:rsidR="00B57CCF" w:rsidRPr="00492E87" w:rsidRDefault="00EE7D31" w:rsidP="00E13847">
      <w:pPr>
        <w:pStyle w:val="Heading3"/>
        <w:rPr>
          <w:rFonts w:eastAsia="MS Mincho"/>
        </w:rPr>
      </w:pPr>
      <w:bookmarkStart w:id="10" w:name="_Toc410134279"/>
      <w:r>
        <w:rPr>
          <w:rFonts w:eastAsia="MS Mincho"/>
        </w:rPr>
        <w:t>5.1.4</w:t>
      </w:r>
      <w:r w:rsidR="00967F77">
        <w:rPr>
          <w:rFonts w:eastAsia="MS Mincho"/>
        </w:rPr>
        <w:t xml:space="preserve"> </w:t>
      </w:r>
      <w:bookmarkStart w:id="11" w:name="_Toc424659469"/>
      <w:r w:rsidR="00B57CCF" w:rsidRPr="00492E87">
        <w:rPr>
          <w:rFonts w:eastAsia="MS Mincho"/>
        </w:rPr>
        <w:t>Enforcement Tools</w:t>
      </w:r>
      <w:bookmarkEnd w:id="10"/>
      <w:bookmarkEnd w:id="11"/>
    </w:p>
    <w:p w14:paraId="0BD7FE29" w14:textId="77777777" w:rsidR="00B57CCF" w:rsidRPr="003C69F9" w:rsidRDefault="00B57CCF" w:rsidP="00FD4FA3">
      <w:pPr>
        <w:pStyle w:val="Heading4"/>
        <w:numPr>
          <w:ilvl w:val="3"/>
          <w:numId w:val="32"/>
        </w:numPr>
      </w:pPr>
      <w:bookmarkStart w:id="12" w:name="_Toc410134280"/>
      <w:bookmarkStart w:id="13" w:name="_Toc424659470"/>
      <w:r w:rsidRPr="0005659F">
        <w:t>Introduction</w:t>
      </w:r>
      <w:bookmarkEnd w:id="12"/>
      <w:bookmarkEnd w:id="13"/>
    </w:p>
    <w:p w14:paraId="0BD7FE2A" w14:textId="77777777" w:rsidR="00B57CCF" w:rsidRPr="00492E87" w:rsidRDefault="00B57CCF" w:rsidP="00FD4FA3">
      <w:pPr>
        <w:pStyle w:val="Heading5"/>
        <w:numPr>
          <w:ilvl w:val="4"/>
          <w:numId w:val="33"/>
        </w:numPr>
      </w:pPr>
      <w:r w:rsidRPr="00FB7EB5">
        <w:t>Purpose</w:t>
      </w:r>
    </w:p>
    <w:p w14:paraId="0BD7FE2B" w14:textId="77777777" w:rsidR="00B57CCF" w:rsidRDefault="00B57CCF" w:rsidP="005E48CC">
      <w:pPr>
        <w:pStyle w:val="level5text"/>
      </w:pPr>
      <w:r>
        <w:t xml:space="preserve">This </w:t>
      </w:r>
      <w:r w:rsidR="00967F77">
        <w:t xml:space="preserve">section </w:t>
      </w:r>
      <w:r>
        <w:t xml:space="preserve">provides an overview of the enforcement tools that </w:t>
      </w:r>
      <w:r w:rsidR="00CA45AA">
        <w:t>HUD</w:t>
      </w:r>
      <w:r>
        <w:t xml:space="preserve"> may use when dealing with non</w:t>
      </w:r>
      <w:r w:rsidR="003D2194">
        <w:t>-</w:t>
      </w:r>
      <w:r>
        <w:t>compliant owners, managers and their representatives.</w:t>
      </w:r>
    </w:p>
    <w:p w14:paraId="0BD7FE2C" w14:textId="77777777" w:rsidR="00B57CCF" w:rsidRDefault="00B57CCF" w:rsidP="00FD4FA3">
      <w:pPr>
        <w:pStyle w:val="Heading5"/>
        <w:numPr>
          <w:ilvl w:val="4"/>
          <w:numId w:val="33"/>
        </w:numPr>
      </w:pPr>
      <w:r>
        <w:t>Background</w:t>
      </w:r>
    </w:p>
    <w:p w14:paraId="0BD7FE2D" w14:textId="77777777" w:rsidR="00B57CCF" w:rsidRDefault="00B57CCF" w:rsidP="005E48CC">
      <w:pPr>
        <w:pStyle w:val="level5text"/>
      </w:pPr>
      <w:r>
        <w:t>While most participants in HUD’s Multifamily Housing</w:t>
      </w:r>
      <w:r w:rsidR="00967F77">
        <w:t xml:space="preserve"> </w:t>
      </w:r>
      <w:r w:rsidR="00CA45AA">
        <w:t>MFH</w:t>
      </w:r>
      <w:r>
        <w:t xml:space="preserve"> programs fulfill their obligations and serve the needs of their tenants, some do not.</w:t>
      </w:r>
      <w:r w:rsidR="00613FBD">
        <w:t xml:space="preserve"> </w:t>
      </w:r>
      <w:r>
        <w:t>Congress and the American people expect that HUD will monitor compliance with its programs and take appropriate actions when HUD discovers violations of its program requirements.</w:t>
      </w:r>
      <w:r w:rsidR="00613FBD">
        <w:t xml:space="preserve"> </w:t>
      </w:r>
      <w:r>
        <w:t>HUD therefore works to assure compliance with the regulatory provisions. Where appropriate, HUD will take enforcement actions to deter non-compliance and protect HUD from doing business with irresponsible parties.</w:t>
      </w:r>
    </w:p>
    <w:p w14:paraId="0BD7FE2E" w14:textId="77777777" w:rsidR="00B57CCF" w:rsidRDefault="00B57CCF" w:rsidP="00FD4FA3">
      <w:pPr>
        <w:pStyle w:val="Heading5"/>
        <w:numPr>
          <w:ilvl w:val="4"/>
          <w:numId w:val="33"/>
        </w:numPr>
      </w:pPr>
      <w:r>
        <w:t xml:space="preserve"> Applicability</w:t>
      </w:r>
    </w:p>
    <w:p w14:paraId="0BD7FE2F" w14:textId="77777777" w:rsidR="00B57CCF" w:rsidRPr="00D97907" w:rsidRDefault="00B57CCF" w:rsidP="005E48CC">
      <w:pPr>
        <w:pStyle w:val="level5text"/>
      </w:pPr>
      <w:r>
        <w:t>Knowing the enforcement tools available to address non-compliant actions will allow Account Executives to be better equipped in servicing their portfolio.</w:t>
      </w:r>
      <w:r w:rsidR="00613FBD">
        <w:t xml:space="preserve"> </w:t>
      </w:r>
      <w:r>
        <w:t>Account Executives can warn the owners of the possible consequences of their actions in order to prevent non-compliant behaviors.</w:t>
      </w:r>
      <w:r w:rsidR="00613FBD">
        <w:t xml:space="preserve"> </w:t>
      </w:r>
      <w:r>
        <w:t xml:space="preserve">The possibility of facing an enforcement action may cause some </w:t>
      </w:r>
      <w:r w:rsidR="00CA45AA">
        <w:t>MFH</w:t>
      </w:r>
      <w:r>
        <w:t xml:space="preserve"> owners and their representatives to comply with HUD’s requirements. If the owners properly manage the project’s financial accounts and keep the property in acceptable physical condition because they wish to avoid enforcement actions, then a strong enforcement presence is also likely to reduce the risk of claims on HUD’s insurance fund.</w:t>
      </w:r>
      <w:r w:rsidR="00613FBD">
        <w:t xml:space="preserve"> </w:t>
      </w:r>
    </w:p>
    <w:p w14:paraId="0BD7FE30" w14:textId="77777777" w:rsidR="00B57CCF" w:rsidRDefault="00B57CCF" w:rsidP="00FD4FA3">
      <w:pPr>
        <w:pStyle w:val="Heading4"/>
        <w:numPr>
          <w:ilvl w:val="3"/>
          <w:numId w:val="33"/>
        </w:numPr>
        <w:rPr>
          <w:rFonts w:eastAsia="MS Mincho"/>
        </w:rPr>
      </w:pPr>
      <w:bookmarkStart w:id="14" w:name="_Toc410134281"/>
      <w:bookmarkStart w:id="15" w:name="_Toc424659471"/>
      <w:r>
        <w:rPr>
          <w:rFonts w:eastAsia="MS Mincho"/>
        </w:rPr>
        <w:t xml:space="preserve">Account Executive Servicing </w:t>
      </w:r>
      <w:r w:rsidRPr="002F7B9D">
        <w:rPr>
          <w:rFonts w:eastAsia="MS Mincho"/>
        </w:rPr>
        <w:t>Tools</w:t>
      </w:r>
      <w:bookmarkEnd w:id="14"/>
      <w:bookmarkEnd w:id="15"/>
    </w:p>
    <w:p w14:paraId="0BD7FE31" w14:textId="77777777" w:rsidR="00B57CCF" w:rsidRDefault="00B57CCF" w:rsidP="005E48CC">
      <w:pPr>
        <w:pStyle w:val="level4text"/>
      </w:pPr>
      <w:r>
        <w:t>The following are examples of “servicing tools” that Account Executives may find helpful in obtaining an owner’s compliance.</w:t>
      </w:r>
      <w:r w:rsidR="00613FBD">
        <w:t xml:space="preserve"> </w:t>
      </w:r>
      <w:r>
        <w:t>Some of these tools may require the signature/concurrence of supervisors or Program Center Directors or Hub Directors to implement:</w:t>
      </w:r>
    </w:p>
    <w:p w14:paraId="0BD7FE32" w14:textId="77777777" w:rsidR="00771627" w:rsidRDefault="00771627" w:rsidP="00EE7D31">
      <w:pPr>
        <w:pStyle w:val="Heading5"/>
        <w:numPr>
          <w:ilvl w:val="4"/>
          <w:numId w:val="33"/>
        </w:numPr>
        <w:ind w:left="1260" w:hanging="540"/>
        <w:rPr>
          <w:rFonts w:eastAsia="MS Mincho"/>
        </w:rPr>
      </w:pPr>
      <w:r>
        <w:rPr>
          <w:rFonts w:eastAsia="MS Mincho"/>
        </w:rPr>
        <w:t>Flag participants in APPS;</w:t>
      </w:r>
    </w:p>
    <w:p w14:paraId="0BD7FE33" w14:textId="77777777" w:rsidR="00B57CCF" w:rsidRDefault="00B57CCF" w:rsidP="00EE7D31">
      <w:pPr>
        <w:pStyle w:val="Heading5"/>
        <w:numPr>
          <w:ilvl w:val="4"/>
          <w:numId w:val="33"/>
        </w:numPr>
        <w:ind w:left="1260" w:hanging="540"/>
        <w:rPr>
          <w:rFonts w:eastAsia="MS Mincho"/>
        </w:rPr>
      </w:pPr>
      <w:r>
        <w:rPr>
          <w:rFonts w:eastAsia="MS Mincho"/>
        </w:rPr>
        <w:t>Change management agents to obtain improved management;</w:t>
      </w:r>
    </w:p>
    <w:p w14:paraId="0BD7FE34" w14:textId="77777777" w:rsidR="00B57CCF" w:rsidRDefault="00B57CCF" w:rsidP="00EE7D31">
      <w:pPr>
        <w:pStyle w:val="Heading5"/>
        <w:numPr>
          <w:ilvl w:val="4"/>
          <w:numId w:val="33"/>
        </w:numPr>
        <w:ind w:left="1260" w:hanging="540"/>
        <w:rPr>
          <w:rFonts w:eastAsia="MS Mincho"/>
        </w:rPr>
      </w:pPr>
      <w:r>
        <w:rPr>
          <w:rFonts w:eastAsia="MS Mincho"/>
        </w:rPr>
        <w:t>Require periodic reports relating to the compliance issue(s);</w:t>
      </w:r>
    </w:p>
    <w:p w14:paraId="0BD7FE35" w14:textId="77777777" w:rsidR="00B57CCF" w:rsidRDefault="00B57CCF" w:rsidP="00EE7D31">
      <w:pPr>
        <w:pStyle w:val="Heading5"/>
        <w:numPr>
          <w:ilvl w:val="4"/>
          <w:numId w:val="33"/>
        </w:numPr>
        <w:ind w:left="1260" w:hanging="540"/>
        <w:rPr>
          <w:rFonts w:eastAsia="MS Mincho"/>
        </w:rPr>
      </w:pPr>
      <w:r>
        <w:rPr>
          <w:rFonts w:eastAsia="MS Mincho"/>
        </w:rPr>
        <w:t>Delay or deny release of residual receipts funds until the owner corrects non-compliance;</w:t>
      </w:r>
    </w:p>
    <w:p w14:paraId="0BD7FE36" w14:textId="77777777" w:rsidR="00B57CCF" w:rsidRDefault="00B57CCF" w:rsidP="00EE7D31">
      <w:pPr>
        <w:pStyle w:val="Heading5"/>
        <w:numPr>
          <w:ilvl w:val="4"/>
          <w:numId w:val="33"/>
        </w:numPr>
        <w:ind w:left="1260" w:hanging="540"/>
        <w:rPr>
          <w:rFonts w:eastAsia="MS Mincho"/>
        </w:rPr>
      </w:pPr>
      <w:r>
        <w:rPr>
          <w:rFonts w:eastAsia="MS Mincho"/>
        </w:rPr>
        <w:t>Refuse to renew a HAP contract and take actions to relocate tenants;</w:t>
      </w:r>
    </w:p>
    <w:p w14:paraId="0BD7FE37" w14:textId="77777777" w:rsidR="00B57CCF" w:rsidRDefault="00B57CCF" w:rsidP="00EE7D31">
      <w:pPr>
        <w:pStyle w:val="Heading5"/>
        <w:numPr>
          <w:ilvl w:val="4"/>
          <w:numId w:val="33"/>
        </w:numPr>
        <w:ind w:left="1260" w:hanging="540"/>
        <w:rPr>
          <w:rFonts w:eastAsia="MS Mincho"/>
        </w:rPr>
      </w:pPr>
      <w:r>
        <w:rPr>
          <w:rFonts w:eastAsia="MS Mincho"/>
        </w:rPr>
        <w:t>Issue a Notice of Regulatory Agreement Violation;</w:t>
      </w:r>
    </w:p>
    <w:p w14:paraId="0BD7FE38" w14:textId="77777777" w:rsidR="00B57CCF" w:rsidRPr="00D26269" w:rsidRDefault="00B57CCF" w:rsidP="00EE7D31">
      <w:pPr>
        <w:pStyle w:val="Heading5"/>
        <w:numPr>
          <w:ilvl w:val="4"/>
          <w:numId w:val="33"/>
        </w:numPr>
        <w:ind w:left="1260" w:hanging="540"/>
        <w:rPr>
          <w:rFonts w:eastAsia="MS Mincho"/>
        </w:rPr>
      </w:pPr>
      <w:r w:rsidRPr="00D26269">
        <w:rPr>
          <w:rFonts w:eastAsia="MS Mincho"/>
        </w:rPr>
        <w:t xml:space="preserve">Issue a Notice of Default of HAP </w:t>
      </w:r>
      <w:r>
        <w:rPr>
          <w:rFonts w:eastAsia="MS Mincho"/>
        </w:rPr>
        <w:t>contract;</w:t>
      </w:r>
    </w:p>
    <w:p w14:paraId="0BD7FE39" w14:textId="77777777" w:rsidR="00B57CCF" w:rsidRPr="00D26269" w:rsidRDefault="00B57CCF" w:rsidP="00EE7D31">
      <w:pPr>
        <w:pStyle w:val="Heading5"/>
        <w:numPr>
          <w:ilvl w:val="4"/>
          <w:numId w:val="33"/>
        </w:numPr>
        <w:ind w:left="1260" w:hanging="540"/>
      </w:pPr>
      <w:r w:rsidRPr="00D26269">
        <w:rPr>
          <w:rFonts w:eastAsia="MS Mincho"/>
        </w:rPr>
        <w:t>A</w:t>
      </w:r>
      <w:r w:rsidR="00AD6C0D">
        <w:rPr>
          <w:rFonts w:eastAsia="MS Mincho"/>
        </w:rPr>
        <w:t>fter issuance of requisite notice(s), a</w:t>
      </w:r>
      <w:r w:rsidRPr="00D26269">
        <w:rPr>
          <w:rFonts w:eastAsia="MS Mincho"/>
        </w:rPr>
        <w:t>bate the HAP</w:t>
      </w:r>
      <w:r>
        <w:rPr>
          <w:rFonts w:eastAsia="MS Mincho"/>
        </w:rPr>
        <w:t xml:space="preserve"> contract;</w:t>
      </w:r>
    </w:p>
    <w:p w14:paraId="0BD7FE3A" w14:textId="77777777" w:rsidR="00B57CCF" w:rsidRDefault="00B57CCF" w:rsidP="00FD4FA3">
      <w:pPr>
        <w:pStyle w:val="Heading6"/>
        <w:numPr>
          <w:ilvl w:val="5"/>
          <w:numId w:val="33"/>
        </w:numPr>
      </w:pPr>
      <w:r w:rsidRPr="00D26269">
        <w:t>Temporary Abatement or Suspension occurs when HAP payments are stopped due to non-compliance, but HUD intends to resume payments when corrective action has been tak</w:t>
      </w:r>
      <w:r>
        <w:t>en;</w:t>
      </w:r>
    </w:p>
    <w:p w14:paraId="0BD7FE3B" w14:textId="77777777" w:rsidR="00B57CCF" w:rsidRPr="003C6B34" w:rsidRDefault="00B57CCF" w:rsidP="00FD4FA3">
      <w:pPr>
        <w:pStyle w:val="Heading6"/>
        <w:numPr>
          <w:ilvl w:val="5"/>
          <w:numId w:val="33"/>
        </w:numPr>
      </w:pPr>
      <w:r w:rsidRPr="003C6B34">
        <w:t>Redirection occurs when HAP payments are redirected to a third party instead of the project. An example of redirection is a utility threating to cut off service to a project un</w:t>
      </w:r>
      <w:r>
        <w:t>less past due payments are made;</w:t>
      </w:r>
      <w:r w:rsidR="00613FBD">
        <w:t xml:space="preserve"> </w:t>
      </w:r>
    </w:p>
    <w:p w14:paraId="0BD7FE3C" w14:textId="77777777" w:rsidR="007A2980" w:rsidRPr="00771627" w:rsidRDefault="00B57CCF" w:rsidP="00FD4FA3">
      <w:pPr>
        <w:pStyle w:val="Heading6"/>
        <w:numPr>
          <w:ilvl w:val="5"/>
          <w:numId w:val="33"/>
        </w:numPr>
        <w:rPr>
          <w:rFonts w:eastAsia="MS Mincho"/>
          <w:b/>
        </w:rPr>
      </w:pPr>
      <w:r w:rsidRPr="003C6B34">
        <w:t>Permanent Abatement or termination occurs when HAP payments are stopped with no intention of resuming the payments in the future.</w:t>
      </w:r>
      <w:r w:rsidR="00613FBD">
        <w:t xml:space="preserve"> </w:t>
      </w:r>
    </w:p>
    <w:p w14:paraId="0BD7FE3D" w14:textId="77777777" w:rsidR="007A2980" w:rsidRDefault="007A2980" w:rsidP="00771627">
      <w:pPr>
        <w:pStyle w:val="HBaText0"/>
      </w:pPr>
    </w:p>
    <w:p w14:paraId="0BD7FE3E" w14:textId="77777777" w:rsidR="00B57CCF" w:rsidRPr="0006696C" w:rsidRDefault="007A2980" w:rsidP="00771627">
      <w:pPr>
        <w:pStyle w:val="HBaText0"/>
        <w:rPr>
          <w:rFonts w:eastAsia="MS Mincho"/>
        </w:rPr>
      </w:pPr>
      <w:r>
        <w:rPr>
          <w:b/>
        </w:rPr>
        <w:t xml:space="preserve">NOTE: </w:t>
      </w:r>
      <w:r>
        <w:t>O</w:t>
      </w:r>
      <w:r w:rsidR="00B57CCF" w:rsidRPr="0006696C">
        <w:t xml:space="preserve">nce a HAP contract has been terminated, </w:t>
      </w:r>
      <w:r w:rsidR="00B57CCF">
        <w:t xml:space="preserve">the HAP payments </w:t>
      </w:r>
      <w:r w:rsidR="00B57CCF" w:rsidRPr="0006696C">
        <w:t>cannot be used to fund relocation expenses or pay future subsidies</w:t>
      </w:r>
      <w:r w:rsidR="00B57CCF">
        <w:t>;</w:t>
      </w:r>
    </w:p>
    <w:p w14:paraId="0BD7FE3F" w14:textId="77777777" w:rsidR="00B57CCF" w:rsidRPr="005E48CC" w:rsidRDefault="00B57CCF" w:rsidP="00EE7D31">
      <w:pPr>
        <w:pStyle w:val="Heading5"/>
        <w:numPr>
          <w:ilvl w:val="4"/>
          <w:numId w:val="33"/>
        </w:numPr>
        <w:ind w:left="1260" w:hanging="540"/>
        <w:rPr>
          <w:rFonts w:eastAsia="MS Mincho"/>
        </w:rPr>
      </w:pPr>
      <w:r w:rsidRPr="005E48CC">
        <w:rPr>
          <w:rFonts w:eastAsia="MS Mincho"/>
        </w:rPr>
        <w:t xml:space="preserve">Issue a Declaration of Default of the Regulatory Agreement, which, if not cured, </w:t>
      </w:r>
      <w:r w:rsidR="008D325E">
        <w:rPr>
          <w:rFonts w:eastAsia="MS Mincho"/>
        </w:rPr>
        <w:t>could lead to one or more of the enforcement actions described in the Regulatory Agreement or any other available statutory or contractual remedy</w:t>
      </w:r>
      <w:r w:rsidRPr="005E48CC">
        <w:rPr>
          <w:rFonts w:eastAsia="MS Mincho"/>
        </w:rPr>
        <w:t>;</w:t>
      </w:r>
    </w:p>
    <w:p w14:paraId="0BD7FE40" w14:textId="77777777" w:rsidR="00B57CCF" w:rsidRPr="003C6B34" w:rsidRDefault="00B57CCF" w:rsidP="00EE7D31">
      <w:pPr>
        <w:pStyle w:val="Heading5"/>
        <w:numPr>
          <w:ilvl w:val="4"/>
          <w:numId w:val="33"/>
        </w:numPr>
        <w:ind w:left="1260" w:hanging="540"/>
        <w:rPr>
          <w:rFonts w:eastAsia="MS Mincho"/>
        </w:rPr>
      </w:pPr>
      <w:r w:rsidRPr="003C6B34">
        <w:rPr>
          <w:rFonts w:eastAsia="MS Mincho"/>
        </w:rPr>
        <w:t>Issue a Notice to</w:t>
      </w:r>
      <w:r>
        <w:t xml:space="preserve"> the lender that the borrower is in default with instructions to the lender to accelerate the outstanding indebtedness of the FHA-insured mortgage</w:t>
      </w:r>
      <w:r w:rsidR="00AD6C0D">
        <w:t xml:space="preserve"> and assign the mortgage to HUD</w:t>
      </w:r>
      <w:r>
        <w:t>; and</w:t>
      </w:r>
    </w:p>
    <w:p w14:paraId="0BD7FE41" w14:textId="77777777" w:rsidR="00B57CCF" w:rsidRPr="003C6B34" w:rsidRDefault="00B57CCF" w:rsidP="00EE7D31">
      <w:pPr>
        <w:pStyle w:val="Heading5"/>
        <w:numPr>
          <w:ilvl w:val="4"/>
          <w:numId w:val="33"/>
        </w:numPr>
        <w:ind w:left="1260" w:hanging="540"/>
        <w:rPr>
          <w:rFonts w:eastAsia="MS Mincho"/>
        </w:rPr>
      </w:pPr>
      <w:r>
        <w:rPr>
          <w:rFonts w:eastAsia="MS Mincho"/>
        </w:rPr>
        <w:t>Issue a foreclosure hearing letter (also known as a “</w:t>
      </w:r>
      <w:r w:rsidR="007E7797">
        <w:rPr>
          <w:rFonts w:eastAsia="MS Mincho"/>
        </w:rPr>
        <w:t>21-day</w:t>
      </w:r>
      <w:r>
        <w:rPr>
          <w:rFonts w:eastAsia="MS Mincho"/>
        </w:rPr>
        <w:t xml:space="preserve"> letter”) on HUD-held mortgages.</w:t>
      </w:r>
    </w:p>
    <w:p w14:paraId="0BD7FE42" w14:textId="77777777" w:rsidR="00B57CCF" w:rsidRDefault="00B57CCF" w:rsidP="00FD4FA3">
      <w:pPr>
        <w:pStyle w:val="Heading4"/>
        <w:numPr>
          <w:ilvl w:val="3"/>
          <w:numId w:val="33"/>
        </w:numPr>
        <w:rPr>
          <w:rFonts w:eastAsia="MS Mincho"/>
        </w:rPr>
      </w:pPr>
      <w:bookmarkStart w:id="16" w:name="_Toc410134282"/>
      <w:bookmarkStart w:id="17" w:name="_Toc424659472"/>
      <w:r w:rsidRPr="0006696C">
        <w:rPr>
          <w:rFonts w:eastAsia="MS Mincho"/>
        </w:rPr>
        <w:t>DEC Enforcement Tools</w:t>
      </w:r>
      <w:bookmarkEnd w:id="16"/>
      <w:bookmarkEnd w:id="17"/>
    </w:p>
    <w:p w14:paraId="0BD7FE43" w14:textId="77777777" w:rsidR="00B57CCF" w:rsidRDefault="00B57CCF" w:rsidP="005E48CC">
      <w:pPr>
        <w:pStyle w:val="level4text"/>
      </w:pPr>
      <w:r>
        <w:t>The DEC has a number of enforcement tools that it may use depending on the facts and statutory and regulatory circumstances of any given situation.</w:t>
      </w:r>
      <w:r w:rsidR="00613FBD">
        <w:t xml:space="preserve"> </w:t>
      </w:r>
      <w:r>
        <w:t>The following is a list of some of these tools:</w:t>
      </w:r>
    </w:p>
    <w:p w14:paraId="0BD7FE44" w14:textId="77777777" w:rsidR="00B57CCF" w:rsidRDefault="00B57CCF" w:rsidP="00FD4FA3">
      <w:pPr>
        <w:pStyle w:val="Heading5"/>
        <w:numPr>
          <w:ilvl w:val="0"/>
          <w:numId w:val="34"/>
        </w:numPr>
        <w:spacing w:before="0"/>
        <w:ind w:left="1512"/>
        <w:rPr>
          <w:rFonts w:eastAsia="MS Mincho"/>
        </w:rPr>
      </w:pPr>
      <w:r>
        <w:rPr>
          <w:rFonts w:eastAsia="MS Mincho"/>
        </w:rPr>
        <w:t>Contact owners and request explanations for flagged non-compliance issues;</w:t>
      </w:r>
    </w:p>
    <w:p w14:paraId="0BD7FE45" w14:textId="77777777" w:rsidR="00B57CCF" w:rsidRDefault="00B57CCF" w:rsidP="00FD4FA3">
      <w:pPr>
        <w:pStyle w:val="Heading5"/>
        <w:numPr>
          <w:ilvl w:val="0"/>
          <w:numId w:val="34"/>
        </w:numPr>
        <w:spacing w:before="0"/>
        <w:ind w:left="1512"/>
        <w:rPr>
          <w:rFonts w:eastAsia="MS Mincho"/>
        </w:rPr>
      </w:pPr>
      <w:r w:rsidRPr="00F63756">
        <w:rPr>
          <w:rFonts w:eastAsia="MS Mincho"/>
        </w:rPr>
        <w:t>Contact owners and request corrective actions, including recoveries of project funds</w:t>
      </w:r>
      <w:r>
        <w:rPr>
          <w:rFonts w:eastAsia="MS Mincho"/>
        </w:rPr>
        <w:t>;</w:t>
      </w:r>
    </w:p>
    <w:p w14:paraId="0BD7FE46" w14:textId="77777777" w:rsidR="00B57CCF" w:rsidRPr="00F63756" w:rsidRDefault="00B57CCF" w:rsidP="00FD4FA3">
      <w:pPr>
        <w:pStyle w:val="Heading5"/>
        <w:numPr>
          <w:ilvl w:val="0"/>
          <w:numId w:val="34"/>
        </w:numPr>
        <w:spacing w:before="0"/>
        <w:ind w:left="1512"/>
        <w:rPr>
          <w:rFonts w:eastAsia="MS Mincho"/>
        </w:rPr>
      </w:pPr>
      <w:r w:rsidRPr="00F63756">
        <w:rPr>
          <w:rFonts w:eastAsia="MS Mincho"/>
        </w:rPr>
        <w:t>Issue Notices of Violations of Regulatory Agreements to owne</w:t>
      </w:r>
      <w:r>
        <w:rPr>
          <w:rFonts w:eastAsia="MS Mincho"/>
        </w:rPr>
        <w:t>rs and other applicable parties;</w:t>
      </w:r>
    </w:p>
    <w:p w14:paraId="0BD7FE47" w14:textId="77777777" w:rsidR="00B57CCF" w:rsidRDefault="00B57CCF" w:rsidP="00FD4FA3">
      <w:pPr>
        <w:pStyle w:val="Heading5"/>
        <w:numPr>
          <w:ilvl w:val="0"/>
          <w:numId w:val="34"/>
        </w:numPr>
        <w:spacing w:before="0"/>
        <w:ind w:left="1512"/>
        <w:rPr>
          <w:rFonts w:eastAsia="MS Mincho"/>
        </w:rPr>
      </w:pPr>
      <w:r>
        <w:rPr>
          <w:rFonts w:eastAsia="MS Mincho"/>
        </w:rPr>
        <w:t>Issue Notices of Default of HAP contracts, PRACs to owners and other applicable parties;</w:t>
      </w:r>
    </w:p>
    <w:p w14:paraId="0BD7FE48" w14:textId="77777777" w:rsidR="00B57CCF" w:rsidRDefault="00B57CCF" w:rsidP="00FD4FA3">
      <w:pPr>
        <w:pStyle w:val="Heading5"/>
        <w:numPr>
          <w:ilvl w:val="0"/>
          <w:numId w:val="34"/>
        </w:numPr>
        <w:spacing w:before="0"/>
        <w:ind w:left="1512"/>
        <w:rPr>
          <w:rFonts w:eastAsia="MS Mincho"/>
        </w:rPr>
      </w:pPr>
      <w:r>
        <w:rPr>
          <w:rFonts w:eastAsia="MS Mincho"/>
        </w:rPr>
        <w:t>Issue warning or cautionary letters;</w:t>
      </w:r>
    </w:p>
    <w:p w14:paraId="0BD7FE49" w14:textId="77777777" w:rsidR="00B57CCF" w:rsidRDefault="00B57CCF" w:rsidP="00FD4FA3">
      <w:pPr>
        <w:pStyle w:val="Heading5"/>
        <w:numPr>
          <w:ilvl w:val="0"/>
          <w:numId w:val="34"/>
        </w:numPr>
        <w:spacing w:before="0"/>
        <w:ind w:left="1512"/>
        <w:rPr>
          <w:rFonts w:eastAsia="MS Mincho"/>
        </w:rPr>
      </w:pPr>
      <w:r>
        <w:rPr>
          <w:rFonts w:eastAsia="MS Mincho"/>
        </w:rPr>
        <w:t>Seek Civil Money Penalties, as authorized by legislation or regulation;</w:t>
      </w:r>
    </w:p>
    <w:p w14:paraId="0BD7FE4A" w14:textId="77777777" w:rsidR="00B57CCF" w:rsidRPr="00CE7F53" w:rsidRDefault="00B57CCF" w:rsidP="00FD4FA3">
      <w:pPr>
        <w:pStyle w:val="Heading5"/>
        <w:numPr>
          <w:ilvl w:val="0"/>
          <w:numId w:val="34"/>
        </w:numPr>
        <w:spacing w:before="0"/>
        <w:ind w:left="1512"/>
        <w:rPr>
          <w:rFonts w:eastAsia="MS Mincho"/>
        </w:rPr>
      </w:pPr>
      <w:r>
        <w:rPr>
          <w:rFonts w:eastAsia="MS Mincho"/>
        </w:rPr>
        <w:t xml:space="preserve">Issue </w:t>
      </w:r>
      <w:r w:rsidR="007A2980">
        <w:rPr>
          <w:rFonts w:eastAsia="MS Mincho"/>
        </w:rPr>
        <w:t>l</w:t>
      </w:r>
      <w:r w:rsidRPr="00CE7F53">
        <w:rPr>
          <w:rFonts w:eastAsia="MS Mincho"/>
        </w:rPr>
        <w:t xml:space="preserve">imited </w:t>
      </w:r>
      <w:r w:rsidR="007A2980">
        <w:rPr>
          <w:rFonts w:eastAsia="MS Mincho"/>
        </w:rPr>
        <w:t>d</w:t>
      </w:r>
      <w:r w:rsidRPr="00CE7F53">
        <w:rPr>
          <w:rFonts w:eastAsia="MS Mincho"/>
        </w:rPr>
        <w:t xml:space="preserve">enial of </w:t>
      </w:r>
      <w:r w:rsidR="007A2980">
        <w:rPr>
          <w:rFonts w:eastAsia="MS Mincho"/>
        </w:rPr>
        <w:t>p</w:t>
      </w:r>
      <w:r w:rsidRPr="00CE7F53">
        <w:rPr>
          <w:rFonts w:eastAsia="MS Mincho"/>
        </w:rPr>
        <w:t xml:space="preserve">articipation </w:t>
      </w:r>
      <w:r w:rsidR="007A2980">
        <w:rPr>
          <w:rFonts w:eastAsia="MS Mincho"/>
        </w:rPr>
        <w:t>in HUD programs,</w:t>
      </w:r>
      <w:r>
        <w:rPr>
          <w:rFonts w:eastAsia="MS Mincho"/>
        </w:rPr>
        <w:t xml:space="preserve"> geographically and program based, up to 12 months --2 CFR Part 2424, Subpart J);</w:t>
      </w:r>
    </w:p>
    <w:p w14:paraId="0BD7FE4B" w14:textId="77777777" w:rsidR="00B57CCF" w:rsidRDefault="00B57CCF" w:rsidP="00FD4FA3">
      <w:pPr>
        <w:pStyle w:val="Heading5"/>
        <w:numPr>
          <w:ilvl w:val="0"/>
          <w:numId w:val="34"/>
        </w:numPr>
        <w:spacing w:before="0"/>
        <w:ind w:left="1512"/>
        <w:rPr>
          <w:rFonts w:eastAsia="MS Mincho"/>
        </w:rPr>
      </w:pPr>
      <w:r>
        <w:rPr>
          <w:rFonts w:eastAsia="MS Mincho"/>
        </w:rPr>
        <w:t>Issue Suspensions (used to prohibit participation where there is evidence of likely immediate harm to the public’s interest-- 2 CFR part 180, subpart G);</w:t>
      </w:r>
    </w:p>
    <w:p w14:paraId="0BD7FE4C" w14:textId="77777777" w:rsidR="00B57CCF" w:rsidRDefault="00B57CCF" w:rsidP="00FD4FA3">
      <w:pPr>
        <w:pStyle w:val="Heading5"/>
        <w:numPr>
          <w:ilvl w:val="0"/>
          <w:numId w:val="34"/>
        </w:numPr>
        <w:spacing w:before="0"/>
        <w:ind w:left="1512"/>
        <w:rPr>
          <w:rFonts w:eastAsia="MS Mincho"/>
        </w:rPr>
      </w:pPr>
      <w:r>
        <w:rPr>
          <w:rFonts w:eastAsia="MS Mincho"/>
        </w:rPr>
        <w:t>Issue Proposed and Final Debarments (generally for three years --2 CFR Part 180, Subpart H);</w:t>
      </w:r>
    </w:p>
    <w:p w14:paraId="0BD7FE4D" w14:textId="77777777" w:rsidR="00B57CCF" w:rsidRDefault="00B57CCF" w:rsidP="00FD4FA3">
      <w:pPr>
        <w:pStyle w:val="Heading5"/>
        <w:numPr>
          <w:ilvl w:val="0"/>
          <w:numId w:val="34"/>
        </w:numPr>
        <w:spacing w:before="0"/>
        <w:ind w:left="1512"/>
        <w:rPr>
          <w:rFonts w:eastAsia="MS Mincho"/>
        </w:rPr>
      </w:pPr>
      <w:r>
        <w:rPr>
          <w:rFonts w:eastAsia="MS Mincho"/>
        </w:rPr>
        <w:t>Recommend to OGC that it refer the matter to the</w:t>
      </w:r>
      <w:r w:rsidR="006F1E61">
        <w:rPr>
          <w:rFonts w:eastAsia="MS Mincho"/>
        </w:rPr>
        <w:t xml:space="preserve"> DOJ</w:t>
      </w:r>
      <w:r>
        <w:rPr>
          <w:rFonts w:eastAsia="MS Mincho"/>
        </w:rPr>
        <w:t xml:space="preserve"> or </w:t>
      </w:r>
      <w:r w:rsidR="004A6986">
        <w:rPr>
          <w:rFonts w:eastAsia="MS Mincho"/>
        </w:rPr>
        <w:t>U.S.</w:t>
      </w:r>
      <w:r>
        <w:rPr>
          <w:rFonts w:eastAsia="MS Mincho"/>
        </w:rPr>
        <w:t xml:space="preserve"> Attorney’s Office for Double Damages (For Regulatory Agreement violations --12 USC §</w:t>
      </w:r>
      <w:r w:rsidR="00384DCD">
        <w:rPr>
          <w:rFonts w:eastAsia="MS Mincho"/>
        </w:rPr>
        <w:t xml:space="preserve"> </w:t>
      </w:r>
      <w:r>
        <w:rPr>
          <w:rFonts w:eastAsia="MS Mincho"/>
        </w:rPr>
        <w:t>1715z-4a); and/or</w:t>
      </w:r>
    </w:p>
    <w:p w14:paraId="0BD7FE4E" w14:textId="77777777" w:rsidR="001E0DA6" w:rsidRDefault="00B57CCF" w:rsidP="00FD4FA3">
      <w:pPr>
        <w:pStyle w:val="Heading5"/>
        <w:numPr>
          <w:ilvl w:val="0"/>
          <w:numId w:val="34"/>
        </w:numPr>
        <w:spacing w:before="0"/>
        <w:ind w:left="1512"/>
        <w:rPr>
          <w:rFonts w:eastAsia="MS Mincho"/>
        </w:rPr>
      </w:pPr>
      <w:r>
        <w:rPr>
          <w:rFonts w:eastAsia="MS Mincho"/>
        </w:rPr>
        <w:t xml:space="preserve">Recommend to OGC that it refer the matter to the </w:t>
      </w:r>
      <w:r w:rsidR="006F1E61">
        <w:rPr>
          <w:rFonts w:eastAsia="MS Mincho"/>
        </w:rPr>
        <w:t>DOJ</w:t>
      </w:r>
      <w:r>
        <w:rPr>
          <w:rFonts w:eastAsia="MS Mincho"/>
        </w:rPr>
        <w:t xml:space="preserve"> or </w:t>
      </w:r>
      <w:r w:rsidR="008E6FF4">
        <w:rPr>
          <w:rFonts w:eastAsia="MS Mincho"/>
        </w:rPr>
        <w:t>U.S.</w:t>
      </w:r>
      <w:r>
        <w:rPr>
          <w:rFonts w:eastAsia="MS Mincho"/>
        </w:rPr>
        <w:t xml:space="preserve"> Attorney’s Office for a civil lawsuit for specific performance.</w:t>
      </w:r>
    </w:p>
    <w:p w14:paraId="0BD7FE4F" w14:textId="77777777" w:rsidR="001E0DA6" w:rsidRPr="00771627" w:rsidRDefault="001E0DA6" w:rsidP="00771627">
      <w:r>
        <w:t>The following sections describe some of these enforcement tools with more specificity.</w:t>
      </w:r>
      <w:r w:rsidR="00003587">
        <w:t xml:space="preserve">  It should also be noted that the Office of Inspector General (OIG) is the only Office at HUD can handle criminal prosecutions.</w:t>
      </w:r>
    </w:p>
    <w:p w14:paraId="0BD7FE50" w14:textId="77777777" w:rsidR="001E0DA6" w:rsidRDefault="001E0DA6" w:rsidP="00FD4FA3">
      <w:pPr>
        <w:pStyle w:val="level5text"/>
        <w:numPr>
          <w:ilvl w:val="4"/>
          <w:numId w:val="33"/>
        </w:numPr>
        <w:rPr>
          <w:rFonts w:eastAsia="MS Mincho"/>
        </w:rPr>
      </w:pPr>
      <w:r>
        <w:rPr>
          <w:rFonts w:eastAsia="MS Mincho"/>
        </w:rPr>
        <w:t>Civil Money Penalties</w:t>
      </w:r>
    </w:p>
    <w:p w14:paraId="0BD7FE51" w14:textId="471178FA" w:rsidR="009E2654" w:rsidRPr="009E2654" w:rsidRDefault="00A426D5" w:rsidP="009E2654">
      <w:pPr>
        <w:pStyle w:val="CommentText"/>
        <w:rPr>
          <w:sz w:val="24"/>
          <w:szCs w:val="24"/>
        </w:rPr>
      </w:pPr>
      <w:bookmarkStart w:id="18" w:name="_Toc410134283"/>
      <w:r w:rsidRPr="009E2654">
        <w:rPr>
          <w:sz w:val="24"/>
          <w:szCs w:val="24"/>
        </w:rPr>
        <w:t>The reg</w:t>
      </w:r>
      <w:r w:rsidR="009E2654" w:rsidRPr="009E2654">
        <w:rPr>
          <w:sz w:val="24"/>
          <w:szCs w:val="24"/>
        </w:rPr>
        <w:t>ulations for Civil Money Penalties</w:t>
      </w:r>
      <w:r w:rsidRPr="009E2654">
        <w:rPr>
          <w:sz w:val="24"/>
          <w:szCs w:val="24"/>
        </w:rPr>
        <w:t xml:space="preserve"> can be found at 24 CFR part 30, subparts </w:t>
      </w:r>
      <w:r w:rsidRPr="001362B7">
        <w:rPr>
          <w:sz w:val="24"/>
          <w:szCs w:val="24"/>
        </w:rPr>
        <w:t>A</w:t>
      </w:r>
      <w:r w:rsidR="00ED1C43" w:rsidRPr="001362B7">
        <w:rPr>
          <w:sz w:val="24"/>
          <w:szCs w:val="24"/>
        </w:rPr>
        <w:t xml:space="preserve"> </w:t>
      </w:r>
      <w:r w:rsidR="004570D7">
        <w:rPr>
          <w:sz w:val="24"/>
          <w:szCs w:val="24"/>
        </w:rPr>
        <w:t>-</w:t>
      </w:r>
      <w:r w:rsidR="00ED1C43" w:rsidRPr="001362B7">
        <w:rPr>
          <w:sz w:val="24"/>
          <w:szCs w:val="24"/>
        </w:rPr>
        <w:t xml:space="preserve">Sec 30.1, 30.5, 30.10, 30.15 </w:t>
      </w:r>
      <w:r w:rsidRPr="001362B7">
        <w:rPr>
          <w:sz w:val="24"/>
          <w:szCs w:val="24"/>
        </w:rPr>
        <w:t>and B</w:t>
      </w:r>
      <w:r w:rsidR="004570D7">
        <w:rPr>
          <w:sz w:val="24"/>
          <w:szCs w:val="24"/>
        </w:rPr>
        <w:t>-</w:t>
      </w:r>
      <w:r w:rsidR="00ED1C43" w:rsidRPr="001362B7">
        <w:rPr>
          <w:sz w:val="24"/>
          <w:szCs w:val="24"/>
        </w:rPr>
        <w:t xml:space="preserve">Sec. 30.20, 30.25, 30.30, 30.35, 30.36, 30.40, </w:t>
      </w:r>
      <w:r w:rsidR="003F5004" w:rsidRPr="001362B7">
        <w:rPr>
          <w:sz w:val="24"/>
          <w:szCs w:val="24"/>
        </w:rPr>
        <w:t xml:space="preserve">30.45, 30.50, 30.55, 30.60, 30.65. </w:t>
      </w:r>
      <w:r w:rsidRPr="001362B7">
        <w:rPr>
          <w:sz w:val="24"/>
          <w:szCs w:val="24"/>
        </w:rPr>
        <w:t xml:space="preserve"> While the civil money penalty statute for </w:t>
      </w:r>
      <w:r w:rsidRPr="004570D7">
        <w:rPr>
          <w:sz w:val="24"/>
          <w:szCs w:val="24"/>
        </w:rPr>
        <w:t xml:space="preserve">multifamily mortgages identifies specific actions which would lead to a penalty, those </w:t>
      </w:r>
      <w:r w:rsidRPr="009E2654">
        <w:rPr>
          <w:sz w:val="24"/>
          <w:szCs w:val="24"/>
        </w:rPr>
        <w:t xml:space="preserve">actions are, in every case, violations of the Regulatory Agreement (12 U.S.C. §§ 1437f-15(c)(1)(B)(i-xv).  Therefore, </w:t>
      </w:r>
      <w:r w:rsidR="009E2654" w:rsidRPr="009E2654">
        <w:rPr>
          <w:sz w:val="24"/>
          <w:szCs w:val="24"/>
        </w:rPr>
        <w:t>civil money penalties</w:t>
      </w:r>
      <w:r w:rsidRPr="009E2654">
        <w:rPr>
          <w:sz w:val="24"/>
          <w:szCs w:val="24"/>
        </w:rPr>
        <w:t xml:space="preserve"> </w:t>
      </w:r>
      <w:r w:rsidR="009E2654" w:rsidRPr="009E2654">
        <w:rPr>
          <w:sz w:val="24"/>
          <w:szCs w:val="24"/>
        </w:rPr>
        <w:t xml:space="preserve">should be considered a potential remedy </w:t>
      </w:r>
      <w:r w:rsidRPr="009E2654">
        <w:rPr>
          <w:sz w:val="24"/>
          <w:szCs w:val="24"/>
        </w:rPr>
        <w:t>whenever an owner has vio</w:t>
      </w:r>
      <w:r w:rsidR="009E2654" w:rsidRPr="009E2654">
        <w:rPr>
          <w:sz w:val="24"/>
          <w:szCs w:val="24"/>
        </w:rPr>
        <w:t xml:space="preserve">lated the Regulatory Agreement.  Where an owner has a HAP contract, civil money penalties can be imposed for violation of the contract but not for statutory or regulatory violations </w:t>
      </w:r>
      <w:r w:rsidR="009E2654">
        <w:rPr>
          <w:sz w:val="24"/>
          <w:szCs w:val="24"/>
        </w:rPr>
        <w:t>(</w:t>
      </w:r>
      <w:r w:rsidR="009E2654" w:rsidRPr="009E2654">
        <w:rPr>
          <w:sz w:val="24"/>
          <w:szCs w:val="24"/>
        </w:rPr>
        <w:t>42 U.S.C. §1437z-11(b)(2)</w:t>
      </w:r>
      <w:r w:rsidR="009E2654">
        <w:rPr>
          <w:sz w:val="24"/>
          <w:szCs w:val="24"/>
        </w:rPr>
        <w:t>)</w:t>
      </w:r>
      <w:r w:rsidR="009E2654" w:rsidRPr="009E2654">
        <w:rPr>
          <w:sz w:val="24"/>
          <w:szCs w:val="24"/>
        </w:rPr>
        <w:t>.</w:t>
      </w:r>
    </w:p>
    <w:p w14:paraId="0BD7FE52" w14:textId="77777777" w:rsidR="004021B1" w:rsidRPr="00541547" w:rsidRDefault="009E2654" w:rsidP="009E2654">
      <w:pPr>
        <w:pStyle w:val="CommentText"/>
        <w:ind w:left="1080"/>
        <w:rPr>
          <w:rFonts w:eastAsia="MS Mincho"/>
        </w:rPr>
      </w:pPr>
      <w:r>
        <w:rPr>
          <w:sz w:val="24"/>
          <w:szCs w:val="24"/>
        </w:rPr>
        <w:t>A civil money penalty is</w:t>
      </w:r>
      <w:r w:rsidR="004021B1">
        <w:rPr>
          <w:rFonts w:eastAsia="MS Mincho"/>
        </w:rPr>
        <w:t>:</w:t>
      </w:r>
    </w:p>
    <w:p w14:paraId="0BD7FE53" w14:textId="77777777" w:rsidR="004021B1" w:rsidRDefault="004021B1" w:rsidP="00FD4FA3">
      <w:pPr>
        <w:pStyle w:val="ListParagraph"/>
        <w:numPr>
          <w:ilvl w:val="0"/>
          <w:numId w:val="8"/>
        </w:numPr>
        <w:spacing w:before="0" w:after="120"/>
        <w:ind w:left="1440"/>
        <w:rPr>
          <w:rFonts w:eastAsia="MS Mincho"/>
        </w:rPr>
      </w:pPr>
      <w:r>
        <w:rPr>
          <w:rFonts w:eastAsia="MS Mincho"/>
        </w:rPr>
        <w:t>A</w:t>
      </w:r>
      <w:r w:rsidRPr="00541547">
        <w:rPr>
          <w:rFonts w:eastAsia="MS Mincho"/>
        </w:rPr>
        <w:t xml:space="preserve"> punitive measure used by HUD to achieve compliance with its regulations and business agreements by eliminating the economic incentive for non-compliance;</w:t>
      </w:r>
    </w:p>
    <w:p w14:paraId="0BD7FE54" w14:textId="77777777" w:rsidR="004021B1" w:rsidRPr="00BE3A63" w:rsidRDefault="004021B1" w:rsidP="00FD4FA3">
      <w:pPr>
        <w:pStyle w:val="ListParagraph"/>
        <w:numPr>
          <w:ilvl w:val="0"/>
          <w:numId w:val="8"/>
        </w:numPr>
        <w:spacing w:before="0" w:after="120"/>
        <w:ind w:left="1440"/>
        <w:rPr>
          <w:rFonts w:eastAsia="MS Mincho"/>
        </w:rPr>
      </w:pPr>
      <w:r>
        <w:rPr>
          <w:rFonts w:eastAsia="MS Mincho"/>
        </w:rPr>
        <w:t>A</w:t>
      </w:r>
      <w:r w:rsidRPr="00BE3A63">
        <w:rPr>
          <w:rFonts w:eastAsia="MS Mincho"/>
        </w:rPr>
        <w:t xml:space="preserve">ssessed by HUD pursuant to </w:t>
      </w:r>
      <w:r>
        <w:rPr>
          <w:rFonts w:eastAsia="MS Mincho"/>
        </w:rPr>
        <w:t>f</w:t>
      </w:r>
      <w:r w:rsidRPr="00BE3A63">
        <w:rPr>
          <w:rFonts w:eastAsia="MS Mincho"/>
        </w:rPr>
        <w:t>ederal law;</w:t>
      </w:r>
    </w:p>
    <w:p w14:paraId="0BD7FE55" w14:textId="77777777" w:rsidR="004021B1" w:rsidRPr="00541547" w:rsidRDefault="004021B1" w:rsidP="00FD4FA3">
      <w:pPr>
        <w:pStyle w:val="ListParagraph"/>
        <w:numPr>
          <w:ilvl w:val="0"/>
          <w:numId w:val="8"/>
        </w:numPr>
        <w:spacing w:before="0" w:after="120"/>
        <w:ind w:left="1440"/>
        <w:rPr>
          <w:rFonts w:eastAsia="MS Mincho"/>
        </w:rPr>
      </w:pPr>
      <w:r>
        <w:rPr>
          <w:rFonts w:eastAsia="MS Mincho"/>
        </w:rPr>
        <w:t>A</w:t>
      </w:r>
      <w:r w:rsidRPr="00541547">
        <w:rPr>
          <w:rFonts w:eastAsia="MS Mincho"/>
        </w:rPr>
        <w:t xml:space="preserve">ssessed </w:t>
      </w:r>
      <w:r>
        <w:rPr>
          <w:rFonts w:eastAsia="MS Mincho"/>
        </w:rPr>
        <w:t>in</w:t>
      </w:r>
      <w:r w:rsidRPr="00541547">
        <w:rPr>
          <w:rFonts w:eastAsia="MS Mincho"/>
        </w:rPr>
        <w:t xml:space="preserve"> an administrative proceeding </w:t>
      </w:r>
      <w:r>
        <w:rPr>
          <w:rFonts w:eastAsia="MS Mincho"/>
        </w:rPr>
        <w:t>and enforced, if necessary in</w:t>
      </w:r>
      <w:r w:rsidRPr="00541547">
        <w:rPr>
          <w:rFonts w:eastAsia="MS Mincho"/>
        </w:rPr>
        <w:t xml:space="preserve"> a civil action in </w:t>
      </w:r>
      <w:r>
        <w:rPr>
          <w:rFonts w:eastAsia="MS Mincho"/>
        </w:rPr>
        <w:t>f</w:t>
      </w:r>
      <w:r w:rsidRPr="00541547">
        <w:rPr>
          <w:rFonts w:eastAsia="MS Mincho"/>
        </w:rPr>
        <w:t>ederal courts; and</w:t>
      </w:r>
      <w:r>
        <w:rPr>
          <w:rFonts w:eastAsia="MS Mincho"/>
        </w:rPr>
        <w:t xml:space="preserve"> is</w:t>
      </w:r>
    </w:p>
    <w:p w14:paraId="0BD7FE56" w14:textId="77777777" w:rsidR="004021B1" w:rsidRDefault="004021B1" w:rsidP="00FD4FA3">
      <w:pPr>
        <w:pStyle w:val="ListParagraph"/>
        <w:numPr>
          <w:ilvl w:val="0"/>
          <w:numId w:val="8"/>
        </w:numPr>
        <w:spacing w:before="0" w:after="120"/>
        <w:ind w:left="1440"/>
        <w:rPr>
          <w:rFonts w:eastAsia="MS Mincho"/>
        </w:rPr>
      </w:pPr>
      <w:r>
        <w:rPr>
          <w:rFonts w:eastAsia="MS Mincho"/>
        </w:rPr>
        <w:t>F</w:t>
      </w:r>
      <w:r w:rsidRPr="00541547">
        <w:rPr>
          <w:rFonts w:eastAsia="MS Mincho"/>
        </w:rPr>
        <w:t>or a specific amount</w:t>
      </w:r>
      <w:r>
        <w:rPr>
          <w:rFonts w:eastAsia="MS Mincho"/>
        </w:rPr>
        <w:t xml:space="preserve"> and up to </w:t>
      </w:r>
      <w:r w:rsidRPr="00541547">
        <w:rPr>
          <w:rFonts w:eastAsia="MS Mincho"/>
        </w:rPr>
        <w:t>a maximum</w:t>
      </w:r>
      <w:r>
        <w:rPr>
          <w:rFonts w:eastAsia="MS Mincho"/>
        </w:rPr>
        <w:t xml:space="preserve"> amount as provided by federal law. </w:t>
      </w:r>
    </w:p>
    <w:p w14:paraId="0BD7FE57" w14:textId="77777777" w:rsidR="004021B1" w:rsidRDefault="004021B1" w:rsidP="004021B1">
      <w:pPr>
        <w:pStyle w:val="level5text"/>
        <w:rPr>
          <w:rFonts w:eastAsia="MS Mincho"/>
        </w:rPr>
      </w:pPr>
      <w:r w:rsidRPr="007A5B29">
        <w:rPr>
          <w:rFonts w:eastAsia="MS Mincho"/>
        </w:rPr>
        <w:t xml:space="preserve">The </w:t>
      </w:r>
      <w:r>
        <w:rPr>
          <w:rFonts w:eastAsia="MS Mincho"/>
        </w:rPr>
        <w:t xml:space="preserve">civil money </w:t>
      </w:r>
      <w:r w:rsidRPr="007A5B29">
        <w:rPr>
          <w:rFonts w:eastAsia="MS Mincho"/>
        </w:rPr>
        <w:t xml:space="preserve">penalties </w:t>
      </w:r>
      <w:r>
        <w:rPr>
          <w:rFonts w:eastAsia="MS Mincho"/>
        </w:rPr>
        <w:t>described</w:t>
      </w:r>
      <w:r w:rsidRPr="007A5B29">
        <w:rPr>
          <w:rFonts w:eastAsia="MS Mincho"/>
        </w:rPr>
        <w:t xml:space="preserve"> in this section </w:t>
      </w:r>
      <w:r>
        <w:rPr>
          <w:rFonts w:eastAsia="MS Mincho"/>
        </w:rPr>
        <w:t>are</w:t>
      </w:r>
      <w:r w:rsidRPr="007A5B29">
        <w:rPr>
          <w:rFonts w:eastAsia="MS Mincho"/>
        </w:rPr>
        <w:t xml:space="preserve"> in addition to any other available civil remedy or criminal penalty, and may be imposed regardless of whether </w:t>
      </w:r>
      <w:r>
        <w:rPr>
          <w:rFonts w:eastAsia="MS Mincho"/>
        </w:rPr>
        <w:t xml:space="preserve">HUD </w:t>
      </w:r>
      <w:r w:rsidRPr="007A5B29">
        <w:rPr>
          <w:rFonts w:eastAsia="MS Mincho"/>
        </w:rPr>
        <w:t>imposes other administrative sanctions.</w:t>
      </w:r>
      <w:r>
        <w:rPr>
          <w:rFonts w:eastAsia="MS Mincho"/>
        </w:rPr>
        <w:t xml:space="preserve"> However, HUD cannot impose penalties for violations in which HUD’s own failure to comply with its existing agreements w</w:t>
      </w:r>
      <w:r w:rsidR="001E0DA6">
        <w:rPr>
          <w:rFonts w:eastAsia="MS Mincho"/>
        </w:rPr>
        <w:t>ere</w:t>
      </w:r>
      <w:r>
        <w:rPr>
          <w:rFonts w:eastAsia="MS Mincho"/>
        </w:rPr>
        <w:t xml:space="preserve"> a material cause of the violation. </w:t>
      </w:r>
    </w:p>
    <w:p w14:paraId="0BD7FE58" w14:textId="77777777" w:rsidR="004021B1" w:rsidRDefault="00135601" w:rsidP="004021B1">
      <w:pPr>
        <w:pStyle w:val="level5text"/>
        <w:rPr>
          <w:rFonts w:eastAsia="MS Mincho"/>
        </w:rPr>
      </w:pPr>
      <w:r>
        <w:rPr>
          <w:rFonts w:eastAsia="MS Mincho"/>
        </w:rPr>
        <w:t>Currently, HUD can impose CMPs against certain participants in MFH projects with insured or HUD-held mortgages, projects with Section 8 HAP contracts, and projects with 202 direct loans or capital grants</w:t>
      </w:r>
      <w:r w:rsidR="004021B1" w:rsidRPr="00926DFE">
        <w:rPr>
          <w:rFonts w:eastAsia="MS Mincho"/>
        </w:rPr>
        <w:t>.</w:t>
      </w:r>
      <w:r w:rsidR="004021B1">
        <w:rPr>
          <w:rFonts w:eastAsia="MS Mincho"/>
        </w:rPr>
        <w:t xml:space="preserve"> </w:t>
      </w:r>
    </w:p>
    <w:p w14:paraId="0BD7FE59" w14:textId="77777777" w:rsidR="009E2654" w:rsidRPr="00B07373" w:rsidRDefault="009E2654" w:rsidP="00B07373">
      <w:pPr>
        <w:pStyle w:val="CommentText"/>
        <w:ind w:left="1080"/>
        <w:rPr>
          <w:sz w:val="24"/>
          <w:szCs w:val="24"/>
        </w:rPr>
      </w:pPr>
      <w:r w:rsidRPr="00B07373">
        <w:rPr>
          <w:sz w:val="24"/>
          <w:szCs w:val="24"/>
        </w:rPr>
        <w:t xml:space="preserve">The maximum civil money penalty that can be imposed on the owner of a multifamily </w:t>
      </w:r>
      <w:r w:rsidR="00B07373" w:rsidRPr="00B07373">
        <w:rPr>
          <w:sz w:val="24"/>
          <w:szCs w:val="24"/>
        </w:rPr>
        <w:t xml:space="preserve">insured or HUD-held project </w:t>
      </w:r>
      <w:r w:rsidRPr="00B07373">
        <w:rPr>
          <w:sz w:val="24"/>
          <w:szCs w:val="24"/>
        </w:rPr>
        <w:t xml:space="preserve">or 202 project is, as of June 15, 2016, $47,340.  The maximum for violation of a HAP contract is now $36,794.  </w:t>
      </w:r>
      <w:r w:rsidR="00B07373" w:rsidRPr="00B07373">
        <w:rPr>
          <w:sz w:val="24"/>
          <w:szCs w:val="24"/>
        </w:rPr>
        <w:t>(</w:t>
      </w:r>
      <w:r w:rsidRPr="00B07373">
        <w:rPr>
          <w:sz w:val="24"/>
          <w:szCs w:val="24"/>
        </w:rPr>
        <w:t>81 F. Reg. 3893</w:t>
      </w:r>
      <w:r w:rsidR="00B07373" w:rsidRPr="00B07373">
        <w:rPr>
          <w:sz w:val="24"/>
          <w:szCs w:val="24"/>
        </w:rPr>
        <w:t xml:space="preserve">1 </w:t>
      </w:r>
      <w:r w:rsidRPr="00B07373">
        <w:rPr>
          <w:sz w:val="24"/>
          <w:szCs w:val="24"/>
        </w:rPr>
        <w:t>June 15, 2016).</w:t>
      </w:r>
    </w:p>
    <w:p w14:paraId="0BD7FE5A" w14:textId="77777777" w:rsidR="004021B1" w:rsidRPr="00541547" w:rsidRDefault="004021B1" w:rsidP="004021B1">
      <w:pPr>
        <w:pStyle w:val="level5text"/>
        <w:rPr>
          <w:rFonts w:eastAsia="MS Mincho"/>
        </w:rPr>
      </w:pPr>
      <w:r>
        <w:rPr>
          <w:rFonts w:eastAsia="MS Mincho"/>
        </w:rPr>
        <w:t xml:space="preserve">In all situations, the penalty will depend on the facts of the case and HUD’s consideration of specific statutory factors. </w:t>
      </w:r>
      <w:r w:rsidRPr="00BD6E51">
        <w:rPr>
          <w:rFonts w:eastAsia="MS Mincho"/>
        </w:rPr>
        <w:t xml:space="preserve">In </w:t>
      </w:r>
      <w:r w:rsidRPr="00541547">
        <w:rPr>
          <w:rFonts w:eastAsia="MS Mincho"/>
        </w:rPr>
        <w:t xml:space="preserve">determining the penalty, </w:t>
      </w:r>
      <w:r>
        <w:rPr>
          <w:rFonts w:eastAsia="MS Mincho"/>
        </w:rPr>
        <w:t xml:space="preserve">HUD </w:t>
      </w:r>
      <w:r w:rsidRPr="00541547">
        <w:rPr>
          <w:rFonts w:eastAsia="MS Mincho"/>
        </w:rPr>
        <w:t>consider</w:t>
      </w:r>
      <w:r>
        <w:rPr>
          <w:rFonts w:eastAsia="MS Mincho"/>
        </w:rPr>
        <w:t>s</w:t>
      </w:r>
      <w:r w:rsidRPr="00541547">
        <w:rPr>
          <w:rFonts w:eastAsia="MS Mincho"/>
        </w:rPr>
        <w:t>:</w:t>
      </w:r>
    </w:p>
    <w:p w14:paraId="0BD7FE5B"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 xml:space="preserve">The </w:t>
      </w:r>
      <w:r>
        <w:rPr>
          <w:rStyle w:val="ptext-115"/>
          <w:rFonts w:cs="Arial"/>
          <w:lang w:val="en"/>
        </w:rPr>
        <w:t>severity</w:t>
      </w:r>
      <w:r w:rsidRPr="002408BA">
        <w:rPr>
          <w:rStyle w:val="ptext-115"/>
          <w:rFonts w:cs="Arial"/>
          <w:lang w:val="en"/>
        </w:rPr>
        <w:t xml:space="preserve"> of the offense;</w:t>
      </w:r>
      <w:r w:rsidRPr="002408BA">
        <w:rPr>
          <w:rFonts w:cs="Arial"/>
        </w:rPr>
        <w:t xml:space="preserve"> </w:t>
      </w:r>
    </w:p>
    <w:p w14:paraId="0BD7FE5C" w14:textId="77777777" w:rsidR="004021B1" w:rsidRPr="002408BA" w:rsidRDefault="004021B1" w:rsidP="00FD4FA3">
      <w:pPr>
        <w:pStyle w:val="ListParagraph"/>
        <w:numPr>
          <w:ilvl w:val="0"/>
          <w:numId w:val="13"/>
        </w:numPr>
        <w:ind w:left="1800"/>
        <w:rPr>
          <w:rFonts w:eastAsia="MS Mincho" w:cs="Arial"/>
          <w:szCs w:val="24"/>
        </w:rPr>
      </w:pPr>
      <w:r w:rsidRPr="002408BA">
        <w:rPr>
          <w:rFonts w:eastAsia="MS Mincho" w:cs="Arial"/>
          <w:szCs w:val="24"/>
        </w:rPr>
        <w:t>The injury to tenants;</w:t>
      </w:r>
    </w:p>
    <w:p w14:paraId="0BD7FE5D" w14:textId="77777777" w:rsidR="00B07373" w:rsidRPr="00B07373" w:rsidRDefault="004021B1" w:rsidP="00317BA9">
      <w:pPr>
        <w:pStyle w:val="ListParagraph"/>
        <w:numPr>
          <w:ilvl w:val="0"/>
          <w:numId w:val="13"/>
        </w:numPr>
        <w:ind w:left="1800"/>
        <w:rPr>
          <w:rStyle w:val="ptext-115"/>
          <w:rFonts w:cs="Arial"/>
        </w:rPr>
      </w:pPr>
      <w:r w:rsidRPr="00317BA9">
        <w:rPr>
          <w:rStyle w:val="ptext-115"/>
          <w:rFonts w:cs="Arial"/>
          <w:lang w:val="en"/>
        </w:rPr>
        <w:t>Any history of prior offenses</w:t>
      </w:r>
      <w:r w:rsidR="002D6A15" w:rsidRPr="00317BA9">
        <w:rPr>
          <w:rStyle w:val="ptext-115"/>
          <w:rFonts w:cs="Arial"/>
          <w:lang w:val="en"/>
        </w:rPr>
        <w:t>, including but not limited to any violations of federal requirements</w:t>
      </w:r>
      <w:r w:rsidR="009176FC" w:rsidRPr="00317BA9">
        <w:rPr>
          <w:rStyle w:val="ptext-115"/>
          <w:rFonts w:cs="Arial"/>
          <w:lang w:val="en"/>
        </w:rPr>
        <w:t xml:space="preserve"> listed in 24 C.F.R. § 5.105</w:t>
      </w:r>
      <w:r w:rsidRPr="00317BA9">
        <w:rPr>
          <w:rStyle w:val="ptext-115"/>
          <w:rFonts w:cs="Arial"/>
          <w:lang w:val="en"/>
        </w:rPr>
        <w:t>;</w:t>
      </w:r>
      <w:r w:rsidR="009176FC" w:rsidRPr="00317BA9">
        <w:rPr>
          <w:rStyle w:val="ptext-115"/>
          <w:rFonts w:cs="Arial"/>
          <w:lang w:val="en"/>
        </w:rPr>
        <w:t xml:space="preserve"> </w:t>
      </w:r>
    </w:p>
    <w:p w14:paraId="0BD7FE5E" w14:textId="77777777" w:rsidR="004021B1" w:rsidRPr="00317BA9" w:rsidRDefault="004021B1" w:rsidP="00317BA9">
      <w:pPr>
        <w:pStyle w:val="ListParagraph"/>
        <w:numPr>
          <w:ilvl w:val="0"/>
          <w:numId w:val="13"/>
        </w:numPr>
        <w:ind w:left="1800"/>
        <w:rPr>
          <w:rFonts w:cs="Arial"/>
        </w:rPr>
      </w:pPr>
      <w:r w:rsidRPr="00317BA9">
        <w:rPr>
          <w:rStyle w:val="ptext-115"/>
          <w:rFonts w:cs="Arial"/>
          <w:lang w:val="en"/>
        </w:rPr>
        <w:t>The ability to pay the penalty, in which ability shall be presumed unless specifically raised as an affirmative defense or mitigating factor by the respondent;</w:t>
      </w:r>
      <w:r w:rsidRPr="00317BA9">
        <w:rPr>
          <w:rFonts w:cs="Arial"/>
        </w:rPr>
        <w:t xml:space="preserve"> </w:t>
      </w:r>
    </w:p>
    <w:p w14:paraId="0BD7FE5F"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The injury to the public;</w:t>
      </w:r>
      <w:r w:rsidRPr="002408BA">
        <w:rPr>
          <w:rFonts w:cs="Arial"/>
        </w:rPr>
        <w:t xml:space="preserve"> </w:t>
      </w:r>
    </w:p>
    <w:p w14:paraId="0BD7FE60"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Any benefits received by the violator;</w:t>
      </w:r>
      <w:r w:rsidRPr="002408BA">
        <w:rPr>
          <w:rFonts w:cs="Arial"/>
        </w:rPr>
        <w:t xml:space="preserve"> </w:t>
      </w:r>
    </w:p>
    <w:p w14:paraId="0BD7FE61"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The extent of potential benefit to other persons;</w:t>
      </w:r>
      <w:r w:rsidRPr="002408BA">
        <w:rPr>
          <w:rFonts w:cs="Arial"/>
        </w:rPr>
        <w:t xml:space="preserve"> </w:t>
      </w:r>
    </w:p>
    <w:p w14:paraId="0BD7FE62"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Deterrence of future violations;</w:t>
      </w:r>
      <w:r w:rsidRPr="002408BA">
        <w:rPr>
          <w:rFonts w:cs="Arial"/>
        </w:rPr>
        <w:t xml:space="preserve"> </w:t>
      </w:r>
    </w:p>
    <w:p w14:paraId="0BD7FE63"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The degree of the violator's culpability;</w:t>
      </w:r>
      <w:r w:rsidRPr="002408BA">
        <w:rPr>
          <w:rFonts w:cs="Arial"/>
        </w:rPr>
        <w:t xml:space="preserve"> </w:t>
      </w:r>
      <w:r w:rsidRPr="002408BA">
        <w:rPr>
          <w:rStyle w:val="ptext-115"/>
          <w:rFonts w:cs="Arial"/>
          <w:lang w:val="en"/>
        </w:rPr>
        <w:t>and</w:t>
      </w:r>
      <w:r w:rsidRPr="002408BA">
        <w:rPr>
          <w:rFonts w:cs="Arial"/>
        </w:rPr>
        <w:t xml:space="preserve"> </w:t>
      </w:r>
    </w:p>
    <w:p w14:paraId="0BD7FE64" w14:textId="77777777" w:rsidR="004021B1" w:rsidRPr="002408BA" w:rsidRDefault="004021B1" w:rsidP="00FD4FA3">
      <w:pPr>
        <w:pStyle w:val="ListParagraph"/>
        <w:numPr>
          <w:ilvl w:val="0"/>
          <w:numId w:val="13"/>
        </w:numPr>
        <w:ind w:left="1800"/>
        <w:rPr>
          <w:rFonts w:cs="Arial"/>
        </w:rPr>
      </w:pPr>
      <w:r w:rsidRPr="002408BA">
        <w:rPr>
          <w:rStyle w:val="ptext-115"/>
          <w:rFonts w:cs="Arial"/>
          <w:lang w:val="en"/>
        </w:rPr>
        <w:t>Such other matters as justice may require.</w:t>
      </w:r>
    </w:p>
    <w:p w14:paraId="0BD7FE65" w14:textId="77777777" w:rsidR="001E0DA6" w:rsidRDefault="001E0DA6" w:rsidP="00FD4FA3">
      <w:pPr>
        <w:pStyle w:val="Heading5"/>
        <w:numPr>
          <w:ilvl w:val="4"/>
          <w:numId w:val="33"/>
        </w:numPr>
        <w:rPr>
          <w:rFonts w:eastAsia="MS Mincho"/>
        </w:rPr>
      </w:pPr>
      <w:r>
        <w:rPr>
          <w:rFonts w:eastAsia="MS Mincho"/>
        </w:rPr>
        <w:t xml:space="preserve">  </w:t>
      </w:r>
      <w:r w:rsidRPr="00CF03F7">
        <w:rPr>
          <w:rFonts w:eastAsia="MS Mincho"/>
        </w:rPr>
        <w:t>Civil</w:t>
      </w:r>
      <w:r>
        <w:rPr>
          <w:rFonts w:eastAsia="MS Mincho"/>
        </w:rPr>
        <w:t xml:space="preserve"> Court</w:t>
      </w:r>
      <w:r w:rsidRPr="00CF03F7">
        <w:rPr>
          <w:rFonts w:eastAsia="MS Mincho"/>
        </w:rPr>
        <w:t xml:space="preserve"> Lawsuits</w:t>
      </w:r>
    </w:p>
    <w:p w14:paraId="0BD7FE66" w14:textId="77777777" w:rsidR="001E0DA6" w:rsidRPr="00771627" w:rsidRDefault="001E0DA6" w:rsidP="00E13847">
      <w:pPr>
        <w:ind w:left="1260"/>
      </w:pPr>
      <w:r>
        <w:t xml:space="preserve">At times HUD may need to go to court to obtain compliance from an owner.  In such a case HUD’s OGC will work with the Department of Justice or the United States Attorneys’ Office to file the lawsuit.  The following are </w:t>
      </w:r>
      <w:r w:rsidR="00EC26A7">
        <w:t>examples of sanctions and remedies that can be imposed or completed through civil court cases</w:t>
      </w:r>
      <w:r>
        <w:t>:</w:t>
      </w:r>
    </w:p>
    <w:p w14:paraId="0BD7FE67" w14:textId="77777777" w:rsidR="001E0DA6" w:rsidRPr="007A5B29" w:rsidRDefault="001E0DA6" w:rsidP="00FD4FA3">
      <w:pPr>
        <w:pStyle w:val="Heading6"/>
        <w:numPr>
          <w:ilvl w:val="5"/>
          <w:numId w:val="35"/>
        </w:numPr>
        <w:rPr>
          <w:rFonts w:eastAsia="MS Mincho"/>
        </w:rPr>
      </w:pPr>
      <w:r w:rsidRPr="007A5B29">
        <w:rPr>
          <w:rFonts w:eastAsia="MS Mincho"/>
        </w:rPr>
        <w:t>Specific Performance.</w:t>
      </w:r>
      <w:r>
        <w:rPr>
          <w:rFonts w:eastAsia="MS Mincho"/>
        </w:rPr>
        <w:t xml:space="preserve"> </w:t>
      </w:r>
    </w:p>
    <w:p w14:paraId="0BD7FE68" w14:textId="77777777" w:rsidR="001E0DA6" w:rsidRDefault="001E0DA6" w:rsidP="001E0DA6">
      <w:pPr>
        <w:pStyle w:val="level6text"/>
      </w:pPr>
      <w:r w:rsidRPr="00541547">
        <w:t xml:space="preserve">Specific performance is a </w:t>
      </w:r>
      <w:r>
        <w:t>remedy that requires the defendant to perform its obligations under a contract. This remedy is in place of, or in addition to, any damages that could be awarded for the defendant’s breach of the contract. An example would be a case where HUD sued an owner for failing to comply with the terms of a Use Agreement to provide housing for low-income tenants. A Court could order the owner to house low-income tenants as a specific performance remedy.</w:t>
      </w:r>
    </w:p>
    <w:p w14:paraId="0BD7FE69" w14:textId="77777777" w:rsidR="001E0DA6" w:rsidRDefault="001E0DA6" w:rsidP="001E0DA6">
      <w:pPr>
        <w:pStyle w:val="level6text"/>
      </w:pPr>
      <w:r w:rsidRPr="00541547">
        <w:t>Specific performance presupposes the existence of a valid contract between the parties and that performance is still possible.</w:t>
      </w:r>
      <w:r>
        <w:t xml:space="preserve"> </w:t>
      </w:r>
      <w:r w:rsidRPr="00541547">
        <w:t xml:space="preserve">If the </w:t>
      </w:r>
      <w:r>
        <w:t>defendan</w:t>
      </w:r>
      <w:r w:rsidRPr="00541547">
        <w:t xml:space="preserve">t refuses to obey an order for specific performance, then the </w:t>
      </w:r>
      <w:r>
        <w:t>defenda</w:t>
      </w:r>
      <w:r w:rsidRPr="00541547">
        <w:t xml:space="preserve">nt may be cited for contempt </w:t>
      </w:r>
      <w:r>
        <w:t>of court.</w:t>
      </w:r>
    </w:p>
    <w:p w14:paraId="0BD7FE6A" w14:textId="77777777" w:rsidR="001E0DA6" w:rsidRPr="00CF03F7" w:rsidRDefault="001E0DA6" w:rsidP="00FD4FA3">
      <w:pPr>
        <w:pStyle w:val="Heading6"/>
        <w:keepNext/>
        <w:numPr>
          <w:ilvl w:val="5"/>
          <w:numId w:val="35"/>
        </w:numPr>
        <w:rPr>
          <w:rFonts w:eastAsia="MS Mincho"/>
        </w:rPr>
      </w:pPr>
      <w:r w:rsidRPr="00CF03F7">
        <w:rPr>
          <w:rFonts w:eastAsia="MS Mincho"/>
        </w:rPr>
        <w:t>Collection of Civil Money Penalties</w:t>
      </w:r>
    </w:p>
    <w:p w14:paraId="0BD7FE6B" w14:textId="77777777" w:rsidR="001E0DA6" w:rsidRPr="00745560" w:rsidRDefault="001E0DA6" w:rsidP="001E0DA6">
      <w:pPr>
        <w:pStyle w:val="level6text"/>
      </w:pPr>
      <w:r w:rsidRPr="00745560">
        <w:t xml:space="preserve">The Attorney General may sue on behalf of </w:t>
      </w:r>
      <w:r>
        <w:t>HUD</w:t>
      </w:r>
      <w:r w:rsidRPr="00745560">
        <w:t xml:space="preserve"> to obtain a monetary judgment against a party that fails to comply with the Secretary’s order imposing a civil money penalty</w:t>
      </w:r>
      <w:r>
        <w:t xml:space="preserve"> (s</w:t>
      </w:r>
      <w:r w:rsidRPr="00745560">
        <w:t>ee 12 USC §</w:t>
      </w:r>
      <w:r>
        <w:t xml:space="preserve"> </w:t>
      </w:r>
      <w:r w:rsidRPr="00745560">
        <w:t>1735f-15(f), 12 USC §</w:t>
      </w:r>
      <w:r>
        <w:t xml:space="preserve"> </w:t>
      </w:r>
      <w:r w:rsidRPr="00745560">
        <w:t>1701q-1(f), and 42 USC §</w:t>
      </w:r>
      <w:r>
        <w:t xml:space="preserve"> </w:t>
      </w:r>
      <w:r w:rsidRPr="00745560">
        <w:t>1437z-1(e)(1)(A)</w:t>
      </w:r>
      <w:r>
        <w:t>)</w:t>
      </w:r>
      <w:r w:rsidRPr="00745560">
        <w:t>.</w:t>
      </w:r>
    </w:p>
    <w:p w14:paraId="0BD7FE6C" w14:textId="77777777" w:rsidR="001E0DA6" w:rsidRPr="00CF03F7" w:rsidRDefault="001E0DA6" w:rsidP="00FD4FA3">
      <w:pPr>
        <w:pStyle w:val="Heading6"/>
        <w:numPr>
          <w:ilvl w:val="5"/>
          <w:numId w:val="35"/>
        </w:numPr>
        <w:rPr>
          <w:rFonts w:eastAsia="MS Mincho"/>
        </w:rPr>
      </w:pPr>
      <w:r w:rsidRPr="00CF03F7">
        <w:rPr>
          <w:rFonts w:eastAsia="MS Mincho"/>
        </w:rPr>
        <w:t>Double Damages</w:t>
      </w:r>
    </w:p>
    <w:p w14:paraId="0BD7FE6D" w14:textId="77777777" w:rsidR="001E0DA6" w:rsidRPr="00541547" w:rsidRDefault="001E0DA6" w:rsidP="001E0DA6">
      <w:pPr>
        <w:pStyle w:val="level6text"/>
      </w:pPr>
      <w:r>
        <w:t>The Attorney General may sue in U.S.</w:t>
      </w:r>
      <w:r w:rsidRPr="00541547">
        <w:t xml:space="preserve"> District Court to recover any assets or income used by any person in violation of a </w:t>
      </w:r>
      <w:r>
        <w:t>R</w:t>
      </w:r>
      <w:r w:rsidRPr="00541547">
        <w:t xml:space="preserve">egulatory </w:t>
      </w:r>
      <w:r>
        <w:t>A</w:t>
      </w:r>
      <w:r w:rsidRPr="00541547">
        <w:t xml:space="preserve">greement or any applicable </w:t>
      </w:r>
      <w:r>
        <w:t xml:space="preserve">regulation (see </w:t>
      </w:r>
      <w:r w:rsidRPr="00541547">
        <w:t xml:space="preserve">12 USC </w:t>
      </w:r>
      <w:r>
        <w:t xml:space="preserve">§ </w:t>
      </w:r>
      <w:r w:rsidRPr="00541547">
        <w:t>1715z-4a</w:t>
      </w:r>
      <w:r>
        <w:t xml:space="preserve">). </w:t>
      </w:r>
      <w:r w:rsidRPr="00541547">
        <w:t>The Attorney General may recover double the value of the misappropriated assets and income along with reasonable attorney and auditing fees.</w:t>
      </w:r>
    </w:p>
    <w:p w14:paraId="0BD7FE6E" w14:textId="77777777" w:rsidR="001E0DA6" w:rsidRPr="00CF03F7" w:rsidRDefault="001E0DA6" w:rsidP="00FD4FA3">
      <w:pPr>
        <w:pStyle w:val="Heading6"/>
        <w:numPr>
          <w:ilvl w:val="5"/>
          <w:numId w:val="35"/>
        </w:numPr>
        <w:rPr>
          <w:rFonts w:eastAsia="MS Mincho"/>
        </w:rPr>
      </w:pPr>
      <w:r w:rsidRPr="00CF03F7">
        <w:rPr>
          <w:rFonts w:eastAsia="MS Mincho"/>
        </w:rPr>
        <w:t>False Claims</w:t>
      </w:r>
    </w:p>
    <w:p w14:paraId="0BD7FE6F" w14:textId="77777777" w:rsidR="001E0DA6" w:rsidRPr="00541547" w:rsidRDefault="001E0DA6" w:rsidP="001E0DA6">
      <w:pPr>
        <w:pStyle w:val="level6text"/>
      </w:pPr>
      <w:r>
        <w:t>Title 31 USC § 3730 authorizes the</w:t>
      </w:r>
      <w:r w:rsidRPr="00CF03F7">
        <w:t xml:space="preserve"> Attorney General</w:t>
      </w:r>
      <w:r>
        <w:t xml:space="preserve"> of the U.S. to investigate and sue any person in</w:t>
      </w:r>
      <w:r w:rsidRPr="00CF03F7">
        <w:t xml:space="preserve"> a civil action in the </w:t>
      </w:r>
      <w:r>
        <w:t>U.S.</w:t>
      </w:r>
      <w:r w:rsidRPr="00CF03F7">
        <w:t xml:space="preserve"> District Court for damages which the Government sustain</w:t>
      </w:r>
      <w:r>
        <w:t xml:space="preserve">ed due to false claims that were </w:t>
      </w:r>
      <w:r w:rsidRPr="00541547">
        <w:t xml:space="preserve">knowingly </w:t>
      </w:r>
      <w:r>
        <w:t xml:space="preserve">presented </w:t>
      </w:r>
      <w:r w:rsidRPr="00541547">
        <w:t>for payment or approval</w:t>
      </w:r>
      <w:r>
        <w:t>. A false claims action includes the making false records to support a false or fraudulent claim or the retaining of property or money intended to be used by the government.</w:t>
      </w:r>
    </w:p>
    <w:p w14:paraId="0BD7FE70" w14:textId="77777777" w:rsidR="001E0DA6" w:rsidRPr="00541547" w:rsidRDefault="001E0DA6" w:rsidP="001E0DA6">
      <w:pPr>
        <w:pStyle w:val="level6text"/>
      </w:pPr>
      <w:r w:rsidRPr="00541547">
        <w:t xml:space="preserve">At this time, liability </w:t>
      </w:r>
      <w:r>
        <w:t xml:space="preserve">for a false claim </w:t>
      </w:r>
      <w:r w:rsidRPr="00541547">
        <w:t>consists of a civil penalty of not less than $5,</w:t>
      </w:r>
      <w:r w:rsidR="00B07373">
        <w:t>5</w:t>
      </w:r>
      <w:r w:rsidRPr="00541547">
        <w:t>00 and not more than $1</w:t>
      </w:r>
      <w:r w:rsidR="00B07373">
        <w:t>1</w:t>
      </w:r>
      <w:r w:rsidRPr="00541547">
        <w:t xml:space="preserve">,000, as adjusted by the Federal Civil Penalties Inflation Adjustment Act of 1990, plus </w:t>
      </w:r>
      <w:r>
        <w:t xml:space="preserve">three </w:t>
      </w:r>
      <w:r w:rsidRPr="00541547">
        <w:t>times the amount of damages which the Government sustains because of the act of that person.</w:t>
      </w:r>
    </w:p>
    <w:p w14:paraId="0BD7FE71" w14:textId="77777777" w:rsidR="00B57CCF" w:rsidRPr="00281A37" w:rsidRDefault="001E0DA6" w:rsidP="00771627">
      <w:pPr>
        <w:pStyle w:val="Heading4"/>
        <w:numPr>
          <w:ilvl w:val="0"/>
          <w:numId w:val="0"/>
        </w:numPr>
        <w:ind w:left="720" w:hanging="360"/>
        <w:rPr>
          <w:rFonts w:eastAsia="MS Mincho"/>
        </w:rPr>
      </w:pPr>
      <w:bookmarkStart w:id="19" w:name="_Toc424659473"/>
      <w:r>
        <w:rPr>
          <w:rFonts w:eastAsia="MS Mincho"/>
        </w:rPr>
        <w:t>D</w:t>
      </w:r>
      <w:r w:rsidR="004021B1">
        <w:rPr>
          <w:rFonts w:eastAsia="MS Mincho"/>
        </w:rPr>
        <w:t xml:space="preserve">. </w:t>
      </w:r>
      <w:r w:rsidR="00B57CCF">
        <w:rPr>
          <w:rFonts w:eastAsia="MS Mincho"/>
        </w:rPr>
        <w:t>Exclusionary</w:t>
      </w:r>
      <w:r w:rsidR="00B57CCF" w:rsidRPr="00281A37">
        <w:rPr>
          <w:rFonts w:eastAsia="MS Mincho"/>
        </w:rPr>
        <w:t xml:space="preserve"> Sanctions</w:t>
      </w:r>
      <w:bookmarkEnd w:id="18"/>
      <w:bookmarkEnd w:id="19"/>
    </w:p>
    <w:p w14:paraId="0BD7FE72" w14:textId="77777777" w:rsidR="00B57CCF" w:rsidRPr="00541547" w:rsidRDefault="009176FC" w:rsidP="005E48CC">
      <w:pPr>
        <w:pStyle w:val="level4text"/>
      </w:pPr>
      <w:r>
        <w:t xml:space="preserve">2 CFR 180.800(d) provides that an agency may debar a person for “any other cause of so serious or compelling a nature that it affects your present responsibility.”  A lack of present responsibility </w:t>
      </w:r>
      <w:r w:rsidR="009219C7">
        <w:t>may be</w:t>
      </w:r>
      <w:r>
        <w:t xml:space="preserve"> demonstrated in a number of ways, including through violations of civil rights statutes and </w:t>
      </w:r>
      <w:r w:rsidR="009219C7">
        <w:t xml:space="preserve">non-discrimination and equal opportunity </w:t>
      </w:r>
      <w:r>
        <w:t xml:space="preserve">program regulations. </w:t>
      </w:r>
      <w:r w:rsidR="00B57CCF" w:rsidRPr="00541547">
        <w:t xml:space="preserve">In those </w:t>
      </w:r>
      <w:r w:rsidR="007E7797" w:rsidRPr="00541547">
        <w:t>instances,</w:t>
      </w:r>
      <w:r w:rsidR="00B57CCF" w:rsidRPr="00541547">
        <w:t xml:space="preserve"> where the non-compliance demonstrates a program participant’s lack of present responsibility</w:t>
      </w:r>
      <w:r w:rsidR="00B57CCF">
        <w:t>, HUD may pursue an exclusionary</w:t>
      </w:r>
      <w:r w:rsidR="00B57CCF" w:rsidRPr="00541547">
        <w:t xml:space="preserve"> sanction.</w:t>
      </w:r>
      <w:r w:rsidR="00613FBD">
        <w:t xml:space="preserve"> </w:t>
      </w:r>
      <w:r w:rsidR="00B57CCF">
        <w:t>HUD</w:t>
      </w:r>
      <w:r w:rsidR="00B57CCF" w:rsidRPr="00541547">
        <w:t xml:space="preserve"> may pursue an </w:t>
      </w:r>
      <w:r w:rsidR="00B57CCF">
        <w:t>exclusionary</w:t>
      </w:r>
      <w:r w:rsidR="00B57CCF" w:rsidRPr="00541547">
        <w:t xml:space="preserve"> sanction in addition to any other penalty or remedy pursued.</w:t>
      </w:r>
      <w:r w:rsidR="00613FBD">
        <w:t xml:space="preserve"> </w:t>
      </w:r>
    </w:p>
    <w:p w14:paraId="0BD7FE73" w14:textId="77777777" w:rsidR="00B57CCF" w:rsidRPr="00541547" w:rsidRDefault="00B57CCF" w:rsidP="005E48CC">
      <w:pPr>
        <w:pStyle w:val="level4text"/>
      </w:pPr>
      <w:r>
        <w:t xml:space="preserve">A </w:t>
      </w:r>
      <w:r w:rsidR="00B07373">
        <w:t>“</w:t>
      </w:r>
      <w:r>
        <w:t>show cause</w:t>
      </w:r>
      <w:r w:rsidR="00B07373">
        <w:t>”</w:t>
      </w:r>
      <w:r>
        <w:t xml:space="preserve"> letter is typically used to initiate exclusionary sanctions, such as LDPs. </w:t>
      </w:r>
      <w:r w:rsidRPr="00541547">
        <w:t xml:space="preserve">The “show cause” letter begins by specifying the non-compliance and asserting that the </w:t>
      </w:r>
      <w:r>
        <w:t>non</w:t>
      </w:r>
      <w:r w:rsidR="003D2194">
        <w:t>-</w:t>
      </w:r>
      <w:r>
        <w:t xml:space="preserve">compliance demonstrates the </w:t>
      </w:r>
      <w:r w:rsidRPr="00541547">
        <w:t>participant lacks present responsibility.</w:t>
      </w:r>
      <w:r w:rsidR="00613FBD">
        <w:t xml:space="preserve"> </w:t>
      </w:r>
      <w:r w:rsidRPr="00541547">
        <w:t>The letter then invites the participant to respond with information and documentation to show that the participant has present responsibility.</w:t>
      </w:r>
    </w:p>
    <w:p w14:paraId="0BD7FE74" w14:textId="77777777" w:rsidR="00B57CCF" w:rsidRDefault="00502CC8" w:rsidP="00FD4FA3">
      <w:pPr>
        <w:pStyle w:val="Heading5"/>
        <w:numPr>
          <w:ilvl w:val="4"/>
          <w:numId w:val="36"/>
        </w:numPr>
      </w:pPr>
      <w:r>
        <w:t>LDP</w:t>
      </w:r>
    </w:p>
    <w:p w14:paraId="0BD7FE75" w14:textId="77777777" w:rsidR="00B57CCF" w:rsidRPr="00541547" w:rsidRDefault="00B57CCF" w:rsidP="00A901E9">
      <w:pPr>
        <w:pStyle w:val="level5text"/>
        <w:rPr>
          <w:rFonts w:eastAsia="MS Mincho"/>
        </w:rPr>
      </w:pPr>
      <w:r w:rsidRPr="00541547">
        <w:rPr>
          <w:lang w:val="en"/>
        </w:rPr>
        <w:t>A</w:t>
      </w:r>
      <w:r>
        <w:rPr>
          <w:lang w:val="en"/>
        </w:rPr>
        <w:t xml:space="preserve">n </w:t>
      </w:r>
      <w:r w:rsidRPr="00541547">
        <w:rPr>
          <w:lang w:val="en"/>
        </w:rPr>
        <w:t xml:space="preserve">LDP excludes a specific person (natural person or entity) from participating in a particular program or programs, within a HUD field office's geographic jurisdiction, for a specific period of time up to </w:t>
      </w:r>
      <w:r w:rsidR="008E6FF4">
        <w:rPr>
          <w:lang w:val="en"/>
        </w:rPr>
        <w:t>12</w:t>
      </w:r>
      <w:r w:rsidR="008E6FF4" w:rsidRPr="00541547">
        <w:rPr>
          <w:lang w:val="en"/>
        </w:rPr>
        <w:t xml:space="preserve"> </w:t>
      </w:r>
      <w:r w:rsidRPr="00541547">
        <w:rPr>
          <w:lang w:val="en"/>
        </w:rPr>
        <w:t>months.</w:t>
      </w:r>
      <w:r w:rsidR="00613FBD">
        <w:rPr>
          <w:lang w:val="en"/>
        </w:rPr>
        <w:t xml:space="preserve"> </w:t>
      </w:r>
      <w:r>
        <w:rPr>
          <w:lang w:val="en"/>
        </w:rPr>
        <w:t xml:space="preserve">An LDP </w:t>
      </w:r>
      <w:r w:rsidRPr="00541547">
        <w:rPr>
          <w:lang w:val="en"/>
        </w:rPr>
        <w:t xml:space="preserve">is </w:t>
      </w:r>
      <w:r>
        <w:rPr>
          <w:lang w:val="en"/>
        </w:rPr>
        <w:t xml:space="preserve">a </w:t>
      </w:r>
      <w:r w:rsidRPr="00541547">
        <w:rPr>
          <w:lang w:val="en"/>
        </w:rPr>
        <w:t xml:space="preserve">discretionary </w:t>
      </w:r>
      <w:r>
        <w:rPr>
          <w:lang w:val="en"/>
        </w:rPr>
        <w:t>act and is based up</w:t>
      </w:r>
      <w:r w:rsidRPr="00541547">
        <w:rPr>
          <w:lang w:val="en"/>
        </w:rPr>
        <w:t xml:space="preserve">on the best interests of the Federal </w:t>
      </w:r>
      <w:r w:rsidR="00EE24CD">
        <w:rPr>
          <w:lang w:val="en"/>
        </w:rPr>
        <w:t>G</w:t>
      </w:r>
      <w:r w:rsidRPr="00541547">
        <w:rPr>
          <w:lang w:val="en"/>
        </w:rPr>
        <w:t xml:space="preserve">overnment. LDPs are </w:t>
      </w:r>
      <w:r>
        <w:rPr>
          <w:lang w:val="en"/>
        </w:rPr>
        <w:t>issued</w:t>
      </w:r>
      <w:r w:rsidRPr="00541547">
        <w:rPr>
          <w:lang w:val="en"/>
        </w:rPr>
        <w:t xml:space="preserve"> to protect </w:t>
      </w:r>
      <w:r>
        <w:rPr>
          <w:lang w:val="en"/>
        </w:rPr>
        <w:t>HUD</w:t>
      </w:r>
      <w:r w:rsidRPr="00541547">
        <w:rPr>
          <w:lang w:val="en"/>
        </w:rPr>
        <w:t xml:space="preserve"> and are not </w:t>
      </w:r>
      <w:r>
        <w:rPr>
          <w:lang w:val="en"/>
        </w:rPr>
        <w:t>t</w:t>
      </w:r>
      <w:r w:rsidRPr="00541547">
        <w:rPr>
          <w:lang w:val="en"/>
        </w:rPr>
        <w:t>o punish a participant.</w:t>
      </w:r>
    </w:p>
    <w:p w14:paraId="0BD7FE76" w14:textId="77777777" w:rsidR="00B57CCF" w:rsidRPr="003E677C" w:rsidRDefault="00B57CCF" w:rsidP="00FD4FA3">
      <w:pPr>
        <w:pStyle w:val="Heading6"/>
        <w:numPr>
          <w:ilvl w:val="5"/>
          <w:numId w:val="36"/>
        </w:numPr>
        <w:rPr>
          <w:rStyle w:val="ptext-115"/>
          <w:rFonts w:cs="Arial"/>
          <w:iCs w:val="0"/>
          <w:lang w:val="en-US"/>
        </w:rPr>
      </w:pPr>
      <w:bookmarkStart w:id="20" w:name="a"/>
      <w:bookmarkEnd w:id="20"/>
      <w:r w:rsidRPr="003E677C">
        <w:rPr>
          <w:rStyle w:val="ptext-115"/>
        </w:rPr>
        <w:t xml:space="preserve">Basis for </w:t>
      </w:r>
      <w:r w:rsidR="00A13888">
        <w:rPr>
          <w:rStyle w:val="ptext-115"/>
        </w:rPr>
        <w:t>an LDP</w:t>
      </w:r>
    </w:p>
    <w:p w14:paraId="0BD7FE77" w14:textId="77777777" w:rsidR="00B57CCF" w:rsidRPr="00281A37" w:rsidRDefault="00B57CCF" w:rsidP="005E48CC">
      <w:pPr>
        <w:pStyle w:val="level6text"/>
        <w:rPr>
          <w:rStyle w:val="ptext-115"/>
          <w:lang w:val="en"/>
        </w:rPr>
      </w:pPr>
      <w:r w:rsidRPr="00281A37">
        <w:rPr>
          <w:rStyle w:val="ptext-115"/>
          <w:lang w:val="en"/>
        </w:rPr>
        <w:t>HUD may issue a</w:t>
      </w:r>
      <w:r>
        <w:rPr>
          <w:rStyle w:val="ptext-115"/>
          <w:lang w:val="en"/>
        </w:rPr>
        <w:t xml:space="preserve">n LDP </w:t>
      </w:r>
      <w:r w:rsidRPr="00281A37">
        <w:rPr>
          <w:rStyle w:val="ptext-115"/>
          <w:lang w:val="en"/>
        </w:rPr>
        <w:t xml:space="preserve">against a </w:t>
      </w:r>
      <w:r>
        <w:rPr>
          <w:rStyle w:val="ptext-115"/>
          <w:lang w:val="en"/>
        </w:rPr>
        <w:t>program participant (</w:t>
      </w:r>
      <w:r w:rsidRPr="00281A37">
        <w:rPr>
          <w:rStyle w:val="ptext-115"/>
          <w:lang w:val="en"/>
        </w:rPr>
        <w:t>person or entity) based upon:</w:t>
      </w:r>
    </w:p>
    <w:p w14:paraId="0BD7FE78" w14:textId="77777777" w:rsidR="00B57CCF" w:rsidRPr="003E677C" w:rsidRDefault="00B57CCF" w:rsidP="00FD4FA3">
      <w:pPr>
        <w:pStyle w:val="Heading7"/>
        <w:numPr>
          <w:ilvl w:val="6"/>
          <w:numId w:val="36"/>
        </w:numPr>
      </w:pPr>
      <w:r w:rsidRPr="003E677C">
        <w:rPr>
          <w:rStyle w:val="ptext-115"/>
        </w:rPr>
        <w:t>Adequate evidence of any of the following causes:</w:t>
      </w:r>
    </w:p>
    <w:p w14:paraId="0BD7FE79" w14:textId="77777777" w:rsidR="00B57CCF" w:rsidRPr="005E48CC" w:rsidRDefault="00B57CCF" w:rsidP="00FD4FA3">
      <w:pPr>
        <w:pStyle w:val="ListParagraph"/>
        <w:numPr>
          <w:ilvl w:val="0"/>
          <w:numId w:val="9"/>
        </w:numPr>
        <w:spacing w:after="240"/>
        <w:ind w:left="2160"/>
        <w:contextualSpacing w:val="0"/>
      </w:pPr>
      <w:bookmarkStart w:id="21" w:name="a_1"/>
      <w:bookmarkStart w:id="22" w:name="a_2"/>
      <w:bookmarkEnd w:id="21"/>
      <w:bookmarkEnd w:id="22"/>
      <w:r w:rsidRPr="005E48CC">
        <w:t xml:space="preserve">There are irregularities in </w:t>
      </w:r>
      <w:r w:rsidR="00D056BD">
        <w:t>the</w:t>
      </w:r>
      <w:r w:rsidRPr="005E48CC">
        <w:t xml:space="preserve"> person's past performance in a HUD program; </w:t>
      </w:r>
    </w:p>
    <w:p w14:paraId="0BD7FE7A" w14:textId="77777777" w:rsidR="00B57CCF" w:rsidRPr="005E48CC" w:rsidRDefault="00B57CCF" w:rsidP="00FD4FA3">
      <w:pPr>
        <w:pStyle w:val="ListParagraph"/>
        <w:numPr>
          <w:ilvl w:val="0"/>
          <w:numId w:val="9"/>
        </w:numPr>
        <w:spacing w:after="240"/>
        <w:ind w:left="2160"/>
        <w:contextualSpacing w:val="0"/>
      </w:pPr>
      <w:bookmarkStart w:id="23" w:name="a_3"/>
      <w:bookmarkEnd w:id="23"/>
      <w:r w:rsidRPr="005E48CC">
        <w:t xml:space="preserve">The person has failed to maintain the prerequisites of eligibility to participate in a HUD program; </w:t>
      </w:r>
    </w:p>
    <w:p w14:paraId="0BD7FE7B" w14:textId="77777777" w:rsidR="00B57CCF" w:rsidRPr="005E48CC" w:rsidRDefault="00B57CCF" w:rsidP="00FD4FA3">
      <w:pPr>
        <w:pStyle w:val="ListParagraph"/>
        <w:numPr>
          <w:ilvl w:val="0"/>
          <w:numId w:val="9"/>
        </w:numPr>
        <w:spacing w:after="240"/>
        <w:ind w:left="2160"/>
        <w:contextualSpacing w:val="0"/>
      </w:pPr>
      <w:bookmarkStart w:id="24" w:name="a_4"/>
      <w:bookmarkEnd w:id="24"/>
      <w:r w:rsidRPr="005E48CC">
        <w:t>The person has failed to honor contractual obligations</w:t>
      </w:r>
      <w:r w:rsidR="00D056BD">
        <w:t>,</w:t>
      </w:r>
      <w:r w:rsidRPr="005E48CC">
        <w:t xml:space="preserve"> or to proceed in accordance with contract specifications or HUD regulations; </w:t>
      </w:r>
    </w:p>
    <w:p w14:paraId="0BD7FE7C" w14:textId="77777777" w:rsidR="00B57CCF" w:rsidRPr="005E48CC" w:rsidRDefault="00B57CCF" w:rsidP="00FD4FA3">
      <w:pPr>
        <w:pStyle w:val="ListParagraph"/>
        <w:numPr>
          <w:ilvl w:val="0"/>
          <w:numId w:val="9"/>
        </w:numPr>
        <w:spacing w:after="240"/>
        <w:ind w:left="2160"/>
        <w:contextualSpacing w:val="0"/>
      </w:pPr>
      <w:bookmarkStart w:id="25" w:name="a_5"/>
      <w:bookmarkEnd w:id="25"/>
      <w:r w:rsidRPr="005E48CC">
        <w:t xml:space="preserve">The person has failed to satisfy, upon completion, the requirements of an assistance agreement or contract; </w:t>
      </w:r>
    </w:p>
    <w:p w14:paraId="0BD7FE7D" w14:textId="77777777" w:rsidR="00B57CCF" w:rsidRPr="005E48CC" w:rsidRDefault="00B57CCF" w:rsidP="00FD4FA3">
      <w:pPr>
        <w:pStyle w:val="ListParagraph"/>
        <w:numPr>
          <w:ilvl w:val="0"/>
          <w:numId w:val="9"/>
        </w:numPr>
        <w:spacing w:after="240"/>
        <w:ind w:left="2160"/>
        <w:contextualSpacing w:val="0"/>
      </w:pPr>
      <w:bookmarkStart w:id="26" w:name="a_6"/>
      <w:bookmarkEnd w:id="26"/>
      <w:r w:rsidRPr="005E48CC">
        <w:t xml:space="preserve">The person has deficiencies in ongoing construction projects; </w:t>
      </w:r>
    </w:p>
    <w:p w14:paraId="0BD7FE7E" w14:textId="77777777" w:rsidR="00B57CCF" w:rsidRPr="005E48CC" w:rsidRDefault="00B57CCF" w:rsidP="00FD4FA3">
      <w:pPr>
        <w:pStyle w:val="ListParagraph"/>
        <w:numPr>
          <w:ilvl w:val="0"/>
          <w:numId w:val="9"/>
        </w:numPr>
        <w:spacing w:after="240"/>
        <w:ind w:left="2160"/>
        <w:contextualSpacing w:val="0"/>
      </w:pPr>
      <w:bookmarkStart w:id="27" w:name="a_7"/>
      <w:bookmarkEnd w:id="27"/>
      <w:r w:rsidRPr="005E48CC">
        <w:t xml:space="preserve">The person </w:t>
      </w:r>
      <w:r w:rsidR="00D056BD">
        <w:t xml:space="preserve">is </w:t>
      </w:r>
      <w:r w:rsidRPr="005E48CC">
        <w:t>falsely certified in connection with any HUD program, whether or not the certification was made directly to HUD;</w:t>
      </w:r>
    </w:p>
    <w:p w14:paraId="0BD7FE7F" w14:textId="77777777" w:rsidR="00B57CCF" w:rsidRPr="005E48CC" w:rsidRDefault="00B57CCF" w:rsidP="00FD4FA3">
      <w:pPr>
        <w:pStyle w:val="ListParagraph"/>
        <w:numPr>
          <w:ilvl w:val="0"/>
          <w:numId w:val="9"/>
        </w:numPr>
        <w:spacing w:after="240"/>
        <w:ind w:left="2160"/>
        <w:contextualSpacing w:val="0"/>
      </w:pPr>
      <w:bookmarkStart w:id="28" w:name="a_8"/>
      <w:bookmarkEnd w:id="28"/>
      <w:r w:rsidRPr="005E48CC">
        <w:t>The person has made</w:t>
      </w:r>
      <w:r w:rsidR="00D056BD">
        <w:t>,</w:t>
      </w:r>
      <w:r w:rsidRPr="005E48CC">
        <w:t xml:space="preserve"> or procured to be made</w:t>
      </w:r>
      <w:r w:rsidR="00D056BD">
        <w:t>,</w:t>
      </w:r>
      <w:r w:rsidRPr="005E48CC">
        <w:t xml:space="preserve"> any false statement for the purpose of influencing in any way a</w:t>
      </w:r>
      <w:r w:rsidR="00D056BD">
        <w:t xml:space="preserve"> HUD action</w:t>
      </w:r>
      <w:r w:rsidRPr="005E48CC">
        <w:t xml:space="preserve">; </w:t>
      </w:r>
    </w:p>
    <w:p w14:paraId="0BD7FE80" w14:textId="77777777" w:rsidR="00B57CCF" w:rsidRPr="005E48CC" w:rsidRDefault="00B57CCF" w:rsidP="00FD4FA3">
      <w:pPr>
        <w:pStyle w:val="ListParagraph"/>
        <w:numPr>
          <w:ilvl w:val="0"/>
          <w:numId w:val="9"/>
        </w:numPr>
        <w:spacing w:after="240"/>
        <w:ind w:left="2160"/>
        <w:contextualSpacing w:val="0"/>
      </w:pPr>
      <w:bookmarkStart w:id="29" w:name="a_9"/>
      <w:bookmarkEnd w:id="29"/>
      <w:r w:rsidRPr="005E48CC">
        <w:t xml:space="preserve">The person has violated any law, regulation, or procedure </w:t>
      </w:r>
      <w:r w:rsidR="00D056BD">
        <w:t>related</w:t>
      </w:r>
      <w:r w:rsidR="00D056BD" w:rsidRPr="005E48CC">
        <w:t xml:space="preserve"> </w:t>
      </w:r>
      <w:r w:rsidRPr="005E48CC">
        <w:t>to the application for financial assistance, insurance, or guarantee, or to the performance of obligations incurred pursuant to a grant of financial assistance</w:t>
      </w:r>
      <w:r w:rsidR="00D056BD">
        <w:t>,</w:t>
      </w:r>
      <w:r w:rsidRPr="005E48CC">
        <w:t xml:space="preserve"> or pursuant to a conditional or final commitment to insure or guarantee; </w:t>
      </w:r>
    </w:p>
    <w:p w14:paraId="0BD7FE81" w14:textId="77777777" w:rsidR="00B57CCF" w:rsidRPr="005E48CC" w:rsidRDefault="00B57CCF" w:rsidP="00FD4FA3">
      <w:pPr>
        <w:pStyle w:val="ListParagraph"/>
        <w:numPr>
          <w:ilvl w:val="0"/>
          <w:numId w:val="9"/>
        </w:numPr>
        <w:tabs>
          <w:tab w:val="left" w:pos="1800"/>
        </w:tabs>
        <w:spacing w:after="240"/>
        <w:ind w:left="2160" w:hanging="540"/>
        <w:contextualSpacing w:val="0"/>
      </w:pPr>
      <w:bookmarkStart w:id="30" w:name="a_10"/>
      <w:bookmarkEnd w:id="30"/>
      <w:r w:rsidRPr="005E48CC">
        <w:t xml:space="preserve">The person has committed any act or omission that would </w:t>
      </w:r>
      <w:r w:rsidR="00D056BD">
        <w:t>satisfy a</w:t>
      </w:r>
      <w:r w:rsidR="00D056BD" w:rsidRPr="005E48CC">
        <w:t xml:space="preserve"> </w:t>
      </w:r>
      <w:r w:rsidRPr="005E48CC">
        <w:t xml:space="preserve">cause for debarment; or </w:t>
      </w:r>
    </w:p>
    <w:p w14:paraId="0BD7FE82" w14:textId="77777777" w:rsidR="00B57CCF" w:rsidRPr="005E48CC" w:rsidRDefault="00DD13FC" w:rsidP="00FD4FA3">
      <w:pPr>
        <w:pStyle w:val="ListParagraph"/>
        <w:numPr>
          <w:ilvl w:val="0"/>
          <w:numId w:val="9"/>
        </w:numPr>
        <w:tabs>
          <w:tab w:val="left" w:pos="1800"/>
        </w:tabs>
        <w:spacing w:after="240"/>
        <w:ind w:left="2160" w:hanging="540"/>
        <w:contextualSpacing w:val="0"/>
      </w:pPr>
      <w:bookmarkStart w:id="31" w:name="a_11"/>
      <w:bookmarkEnd w:id="31"/>
      <w:r>
        <w:t>There is an i</w:t>
      </w:r>
      <w:r w:rsidR="00B57CCF" w:rsidRPr="005E48CC">
        <w:t>mposition of a</w:t>
      </w:r>
      <w:r>
        <w:t>n</w:t>
      </w:r>
      <w:r w:rsidR="00B57CCF" w:rsidRPr="005E48CC">
        <w:t xml:space="preserve"> LDP by any other HUD office.</w:t>
      </w:r>
    </w:p>
    <w:p w14:paraId="0BD7FE83" w14:textId="77777777" w:rsidR="00B57CCF" w:rsidRDefault="00D056BD" w:rsidP="00FD4FA3">
      <w:pPr>
        <w:pStyle w:val="Heading7"/>
        <w:numPr>
          <w:ilvl w:val="6"/>
          <w:numId w:val="36"/>
        </w:numPr>
        <w:rPr>
          <w:rStyle w:val="ptext-115"/>
          <w:rFonts w:eastAsiaTheme="minorHAnsi" w:cstheme="minorBidi"/>
          <w:iCs w:val="0"/>
          <w:lang w:val="en"/>
        </w:rPr>
      </w:pPr>
      <w:bookmarkStart w:id="32" w:name="b"/>
      <w:bookmarkEnd w:id="32"/>
      <w:r>
        <w:rPr>
          <w:rStyle w:val="ptext-115"/>
          <w:lang w:val="en"/>
        </w:rPr>
        <w:t>Filing</w:t>
      </w:r>
      <w:r w:rsidR="00B57CCF" w:rsidRPr="00281A37">
        <w:rPr>
          <w:rStyle w:val="ptext-115"/>
          <w:lang w:val="en"/>
        </w:rPr>
        <w:t xml:space="preserve"> a criminal indictment or information </w:t>
      </w:r>
      <w:r w:rsidR="00B57CCF">
        <w:rPr>
          <w:rStyle w:val="ptext-115"/>
          <w:lang w:val="en"/>
        </w:rPr>
        <w:t>is</w:t>
      </w:r>
      <w:r w:rsidR="00B57CCF" w:rsidRPr="00281A37">
        <w:rPr>
          <w:rStyle w:val="ptext-115"/>
          <w:lang w:val="en"/>
        </w:rPr>
        <w:t xml:space="preserve"> adequate evidence for the purpose of LDP actions.</w:t>
      </w:r>
      <w:r w:rsidR="00613FBD">
        <w:rPr>
          <w:rStyle w:val="ptext-115"/>
          <w:lang w:val="en"/>
        </w:rPr>
        <w:t xml:space="preserve"> </w:t>
      </w:r>
      <w:r w:rsidR="00B57CCF" w:rsidRPr="00281A37">
        <w:rPr>
          <w:rStyle w:val="ptext-115"/>
          <w:lang w:val="en"/>
        </w:rPr>
        <w:t xml:space="preserve">The </w:t>
      </w:r>
      <w:r w:rsidR="00B57CCF">
        <w:rPr>
          <w:rStyle w:val="ptext-115"/>
          <w:lang w:val="en"/>
        </w:rPr>
        <w:t>i</w:t>
      </w:r>
      <w:r w:rsidR="00B57CCF" w:rsidRPr="00281A37">
        <w:rPr>
          <w:rStyle w:val="ptext-115"/>
          <w:lang w:val="en"/>
        </w:rPr>
        <w:t xml:space="preserve">ndictment or </w:t>
      </w:r>
      <w:r w:rsidR="00B57CCF">
        <w:rPr>
          <w:rStyle w:val="ptext-115"/>
          <w:lang w:val="en"/>
        </w:rPr>
        <w:t>i</w:t>
      </w:r>
      <w:r w:rsidR="00B57CCF" w:rsidRPr="00281A37">
        <w:rPr>
          <w:rStyle w:val="ptext-115"/>
          <w:lang w:val="en"/>
        </w:rPr>
        <w:t>nformation need not be based on offenses against HUD</w:t>
      </w:r>
      <w:r w:rsidR="00B57CCF">
        <w:rPr>
          <w:rStyle w:val="ptext-115"/>
          <w:lang w:val="en"/>
        </w:rPr>
        <w:t>.</w:t>
      </w:r>
    </w:p>
    <w:p w14:paraId="0BD7FE84" w14:textId="77777777" w:rsidR="00B57CCF" w:rsidRDefault="00D056BD" w:rsidP="00FD4FA3">
      <w:pPr>
        <w:pStyle w:val="Heading7"/>
        <w:numPr>
          <w:ilvl w:val="6"/>
          <w:numId w:val="36"/>
        </w:numPr>
        <w:rPr>
          <w:rStyle w:val="ptext-115"/>
          <w:lang w:val="en"/>
        </w:rPr>
      </w:pPr>
      <w:bookmarkStart w:id="33" w:name="c"/>
      <w:bookmarkEnd w:id="33"/>
      <w:r>
        <w:rPr>
          <w:rStyle w:val="ptext-115"/>
          <w:lang w:val="en"/>
        </w:rPr>
        <w:t>Imposing an</w:t>
      </w:r>
      <w:r w:rsidR="00B57CCF" w:rsidRPr="00541547">
        <w:rPr>
          <w:rStyle w:val="ptext-115"/>
          <w:lang w:val="en"/>
        </w:rPr>
        <w:t xml:space="preserve"> LDP by any other HUD office </w:t>
      </w:r>
      <w:r w:rsidR="00B57CCF">
        <w:rPr>
          <w:rStyle w:val="ptext-115"/>
          <w:lang w:val="en"/>
        </w:rPr>
        <w:t>is</w:t>
      </w:r>
      <w:r w:rsidR="00B57CCF" w:rsidRPr="00541547">
        <w:rPr>
          <w:rStyle w:val="ptext-115"/>
          <w:lang w:val="en"/>
        </w:rPr>
        <w:t xml:space="preserve"> adequate evidence for a concurrent </w:t>
      </w:r>
      <w:r w:rsidR="00B57CCF">
        <w:rPr>
          <w:rStyle w:val="ptext-115"/>
          <w:lang w:val="en"/>
        </w:rPr>
        <w:t>LDP</w:t>
      </w:r>
      <w:r w:rsidR="00B57CCF" w:rsidRPr="00541547">
        <w:rPr>
          <w:rStyle w:val="ptext-115"/>
          <w:lang w:val="en"/>
        </w:rPr>
        <w:t>.</w:t>
      </w:r>
      <w:r w:rsidR="00613FBD">
        <w:rPr>
          <w:rStyle w:val="ptext-115"/>
          <w:lang w:val="en"/>
        </w:rPr>
        <w:t xml:space="preserve"> </w:t>
      </w:r>
      <w:r w:rsidR="00B57CCF" w:rsidRPr="00541547">
        <w:rPr>
          <w:rStyle w:val="ptext-115"/>
          <w:lang w:val="en"/>
        </w:rPr>
        <w:t>Where such a concurrent LDP is imposed, participation may be restricted on the same basis without the need for an additional conference or further hearing</w:t>
      </w:r>
      <w:r w:rsidR="00B57CCF">
        <w:rPr>
          <w:rStyle w:val="ptext-115"/>
          <w:lang w:val="en"/>
        </w:rPr>
        <w:t>.</w:t>
      </w:r>
    </w:p>
    <w:p w14:paraId="0BD7FE85" w14:textId="77777777" w:rsidR="00B57CCF" w:rsidRPr="00541547" w:rsidRDefault="00B57CCF" w:rsidP="00FD4FA3">
      <w:pPr>
        <w:pStyle w:val="Heading7"/>
        <w:numPr>
          <w:ilvl w:val="6"/>
          <w:numId w:val="36"/>
        </w:numPr>
        <w:rPr>
          <w:rFonts w:eastAsia="MS Mincho"/>
        </w:rPr>
      </w:pPr>
      <w:bookmarkStart w:id="34" w:name="d"/>
      <w:bookmarkEnd w:id="34"/>
      <w:r>
        <w:rPr>
          <w:rStyle w:val="ptext-115"/>
          <w:lang w:val="en"/>
        </w:rPr>
        <w:t>The existence of an</w:t>
      </w:r>
      <w:r w:rsidRPr="00541547">
        <w:rPr>
          <w:rStyle w:val="ptext-115"/>
          <w:lang w:val="en"/>
        </w:rPr>
        <w:t xml:space="preserve"> affiliation with a person or entity subject to a</w:t>
      </w:r>
      <w:r w:rsidR="00D056BD">
        <w:rPr>
          <w:rStyle w:val="ptext-115"/>
          <w:lang w:val="en"/>
        </w:rPr>
        <w:t>n</w:t>
      </w:r>
      <w:r w:rsidRPr="00541547">
        <w:rPr>
          <w:rStyle w:val="ptext-115"/>
          <w:lang w:val="en"/>
        </w:rPr>
        <w:t xml:space="preserve"> LDP regardless of </w:t>
      </w:r>
      <w:r>
        <w:rPr>
          <w:rStyle w:val="ptext-115"/>
          <w:lang w:val="en"/>
        </w:rPr>
        <w:t>the party’s</w:t>
      </w:r>
      <w:r w:rsidRPr="00541547">
        <w:rPr>
          <w:rStyle w:val="ptext-115"/>
          <w:lang w:val="en"/>
        </w:rPr>
        <w:t xml:space="preserve"> knowledge of</w:t>
      </w:r>
      <w:r w:rsidR="00D056BD">
        <w:rPr>
          <w:rStyle w:val="ptext-115"/>
          <w:lang w:val="en"/>
        </w:rPr>
        <w:t>,</w:t>
      </w:r>
      <w:r w:rsidRPr="00541547">
        <w:rPr>
          <w:rStyle w:val="ptext-115"/>
          <w:lang w:val="en"/>
        </w:rPr>
        <w:t xml:space="preserve"> or participation in</w:t>
      </w:r>
      <w:r w:rsidR="00D056BD">
        <w:rPr>
          <w:rStyle w:val="ptext-115"/>
          <w:lang w:val="en"/>
        </w:rPr>
        <w:t>,</w:t>
      </w:r>
      <w:r w:rsidRPr="00541547">
        <w:rPr>
          <w:rStyle w:val="ptext-115"/>
          <w:lang w:val="en"/>
        </w:rPr>
        <w:t xml:space="preserve"> the acts providing cause for the sanction.</w:t>
      </w:r>
      <w:r w:rsidR="00613FBD">
        <w:rPr>
          <w:rStyle w:val="ptext-115"/>
          <w:lang w:val="en"/>
        </w:rPr>
        <w:t xml:space="preserve"> </w:t>
      </w:r>
      <w:r w:rsidRPr="00541547">
        <w:rPr>
          <w:rStyle w:val="ptext-115"/>
          <w:lang w:val="en"/>
        </w:rPr>
        <w:t>The burden of proving that a particular affiliate or organizational element is currently responsible and not controlled by the primary sanctioned party (or by an entity that itself is controlled by the primary sanctioned party) is on the affiliate or organizational element.</w:t>
      </w:r>
    </w:p>
    <w:p w14:paraId="0BD7FE86" w14:textId="77777777" w:rsidR="00B57CCF" w:rsidRDefault="00B57CCF" w:rsidP="00FD4FA3">
      <w:pPr>
        <w:pStyle w:val="Heading6"/>
        <w:numPr>
          <w:ilvl w:val="5"/>
          <w:numId w:val="36"/>
        </w:numPr>
        <w:rPr>
          <w:rFonts w:eastAsia="MS Mincho"/>
        </w:rPr>
      </w:pPr>
      <w:r w:rsidRPr="00A21C27">
        <w:rPr>
          <w:rFonts w:eastAsia="MS Mincho"/>
        </w:rPr>
        <w:t>Authorized Officials</w:t>
      </w:r>
    </w:p>
    <w:p w14:paraId="0BD7FE87" w14:textId="77777777" w:rsidR="00B57CCF" w:rsidRPr="00541547" w:rsidRDefault="00B57CCF" w:rsidP="005E48CC">
      <w:pPr>
        <w:pStyle w:val="level6text"/>
      </w:pPr>
      <w:r w:rsidRPr="00541547">
        <w:t>A</w:t>
      </w:r>
      <w:r>
        <w:t xml:space="preserve">n LDP is </w:t>
      </w:r>
      <w:r w:rsidRPr="00541547">
        <w:t>normally issued by a HUD field office, but may be issued by a Headquarters office, the DE</w:t>
      </w:r>
      <w:r>
        <w:t>C</w:t>
      </w:r>
      <w:r w:rsidR="00D056BD">
        <w:t>,</w:t>
      </w:r>
      <w:r w:rsidRPr="00541547">
        <w:t xml:space="preserve"> or anyone else the Secretary designates.</w:t>
      </w:r>
    </w:p>
    <w:p w14:paraId="0BD7FE88" w14:textId="77777777" w:rsidR="00B57CCF" w:rsidRDefault="00B57CCF" w:rsidP="00FD4FA3">
      <w:pPr>
        <w:pStyle w:val="Heading6"/>
        <w:numPr>
          <w:ilvl w:val="5"/>
          <w:numId w:val="36"/>
        </w:numPr>
        <w:rPr>
          <w:rFonts w:eastAsia="MS Mincho"/>
        </w:rPr>
      </w:pPr>
      <w:r w:rsidRPr="00A21C27">
        <w:rPr>
          <w:rFonts w:eastAsia="MS Mincho"/>
        </w:rPr>
        <w:t>Processing Procedures</w:t>
      </w:r>
    </w:p>
    <w:p w14:paraId="0BD7FE89" w14:textId="77777777" w:rsidR="00B57CCF" w:rsidRPr="00541547" w:rsidRDefault="00B57CCF" w:rsidP="005E48CC">
      <w:pPr>
        <w:pStyle w:val="level6text"/>
      </w:pPr>
      <w:r w:rsidRPr="00541547">
        <w:t>To initiate a</w:t>
      </w:r>
      <w:r>
        <w:t>n</w:t>
      </w:r>
      <w:r w:rsidRPr="00541547">
        <w:t xml:space="preserve"> LDP, the referring party should identify, at a minimum: 1) who </w:t>
      </w:r>
      <w:r w:rsidR="001C44B5">
        <w:t>the party</w:t>
      </w:r>
      <w:r w:rsidRPr="00541547">
        <w:t xml:space="preserve"> is referring for LDP; 2) how that person </w:t>
      </w:r>
      <w:r>
        <w:t xml:space="preserve">or entity </w:t>
      </w:r>
      <w:r w:rsidRPr="00541547">
        <w:t xml:space="preserve">was a participant or is a foreseeable participant in HUD programs; 3) what the </w:t>
      </w:r>
      <w:r>
        <w:t>person or entity</w:t>
      </w:r>
      <w:r w:rsidRPr="00541547">
        <w:t xml:space="preserve"> did or failed to do in the program and how that action or inaction </w:t>
      </w:r>
      <w:r w:rsidR="00D056BD">
        <w:t>violated</w:t>
      </w:r>
      <w:r w:rsidRPr="00541547">
        <w:t xml:space="preserve"> program rules or was otherwise</w:t>
      </w:r>
      <w:r>
        <w:t xml:space="preserve"> </w:t>
      </w:r>
      <w:r w:rsidRPr="00541547">
        <w:t>irresponsible; and 4) when the alleged action(s) or inaction(s) occurred.</w:t>
      </w:r>
      <w:r w:rsidR="00613FBD">
        <w:t xml:space="preserve"> </w:t>
      </w:r>
    </w:p>
    <w:p w14:paraId="0BD7FE8A" w14:textId="77777777" w:rsidR="00B57CCF" w:rsidRPr="00541547" w:rsidRDefault="001F4DD6" w:rsidP="00FD4FA3">
      <w:pPr>
        <w:pStyle w:val="Heading5"/>
        <w:numPr>
          <w:ilvl w:val="4"/>
          <w:numId w:val="36"/>
        </w:numPr>
        <w:rPr>
          <w:rFonts w:eastAsia="MS Mincho"/>
        </w:rPr>
      </w:pPr>
      <w:r>
        <w:rPr>
          <w:rFonts w:eastAsia="MS Mincho"/>
        </w:rPr>
        <w:t>Suspension/</w:t>
      </w:r>
      <w:r w:rsidR="00B57CCF" w:rsidRPr="00541547">
        <w:rPr>
          <w:rFonts w:eastAsia="MS Mincho"/>
        </w:rPr>
        <w:t>Debarment</w:t>
      </w:r>
    </w:p>
    <w:p w14:paraId="0BD7FE8B" w14:textId="77777777" w:rsidR="00A83CB3" w:rsidRDefault="001F4DD6" w:rsidP="005E48CC">
      <w:pPr>
        <w:pStyle w:val="level5text"/>
        <w:rPr>
          <w:rFonts w:eastAsia="MS Mincho"/>
        </w:rPr>
      </w:pPr>
      <w:r>
        <w:rPr>
          <w:rFonts w:eastAsia="MS Mincho"/>
        </w:rPr>
        <w:t>Suspensions and Debarments are actions that HUD may take to protect the Government</w:t>
      </w:r>
      <w:r w:rsidR="00A83CB3">
        <w:rPr>
          <w:rFonts w:eastAsia="MS Mincho"/>
        </w:rPr>
        <w:t xml:space="preserve"> from irresponsible actions of HUD participants</w:t>
      </w:r>
      <w:r>
        <w:rPr>
          <w:rFonts w:eastAsia="MS Mincho"/>
        </w:rPr>
        <w:t xml:space="preserve">.  Suspensions and debarments are not penalties.  </w:t>
      </w:r>
      <w:r w:rsidR="00A83CB3">
        <w:rPr>
          <w:rFonts w:eastAsia="MS Mincho"/>
        </w:rPr>
        <w:t xml:space="preserve">HUD’s regulations for suspension and debarment can be found at </w:t>
      </w:r>
      <w:r w:rsidR="00A83CB3" w:rsidRPr="00916861">
        <w:t>2 CFR Part 2424</w:t>
      </w:r>
      <w:r w:rsidR="00A83CB3">
        <w:t>, which augment and implement Government-wide regulations at 2 CFR Part 180.  The DEC Director in Headquarters is HUD’s Suspension/Debarment official.  Both suspensions and debarments are Government-wide, and cannot be invoked for only HUD programs.</w:t>
      </w:r>
    </w:p>
    <w:p w14:paraId="0BD7FE8C" w14:textId="77777777" w:rsidR="001F4DD6" w:rsidRDefault="00A83CB3" w:rsidP="005E48CC">
      <w:pPr>
        <w:pStyle w:val="level5text"/>
      </w:pPr>
      <w:r>
        <w:rPr>
          <w:rFonts w:eastAsia="MS Mincho"/>
        </w:rPr>
        <w:t>A</w:t>
      </w:r>
      <w:r w:rsidR="001F4DD6">
        <w:rPr>
          <w:rFonts w:eastAsia="MS Mincho"/>
        </w:rPr>
        <w:t xml:space="preserve"> suspension or debarment </w:t>
      </w:r>
      <w:r>
        <w:rPr>
          <w:rFonts w:eastAsia="MS Mincho"/>
        </w:rPr>
        <w:t>does not have to result from actions relating to HUD programs.  For instance, if a HUD participant is convicted of a crime unrelated to a HUD program (e.g., bankruptcy fraud), HUD may take an action to debar the participant.</w:t>
      </w:r>
    </w:p>
    <w:p w14:paraId="0BD7FE8D" w14:textId="77777777" w:rsidR="001F4DD6" w:rsidRDefault="00A83CB3" w:rsidP="005E48CC">
      <w:pPr>
        <w:pStyle w:val="level5text"/>
        <w:rPr>
          <w:rFonts w:eastAsia="MS Mincho"/>
        </w:rPr>
      </w:pPr>
      <w:r>
        <w:rPr>
          <w:rFonts w:eastAsia="MS Mincho"/>
        </w:rPr>
        <w:t>Suspension – Suspensions are temporary and have imme</w:t>
      </w:r>
      <w:r w:rsidR="001F4DD6">
        <w:rPr>
          <w:rFonts w:eastAsia="MS Mincho"/>
        </w:rPr>
        <w:t>diate effect</w:t>
      </w:r>
      <w:r>
        <w:rPr>
          <w:rFonts w:eastAsia="MS Mincho"/>
        </w:rPr>
        <w:t xml:space="preserve">.  </w:t>
      </w:r>
      <w:r w:rsidR="0020547B">
        <w:rPr>
          <w:rFonts w:eastAsia="MS Mincho"/>
        </w:rPr>
        <w:t>They become effective upon issuance by HUD of notice upon the participant, and</w:t>
      </w:r>
      <w:r>
        <w:rPr>
          <w:rFonts w:eastAsia="MS Mincho"/>
        </w:rPr>
        <w:t xml:space="preserve"> are typically invoked</w:t>
      </w:r>
      <w:r w:rsidR="001F4DD6">
        <w:rPr>
          <w:rFonts w:eastAsia="MS Mincho"/>
        </w:rPr>
        <w:t xml:space="preserve"> when HUD believes it has a basis for debarment</w:t>
      </w:r>
      <w:r w:rsidR="0020547B">
        <w:rPr>
          <w:rFonts w:eastAsia="MS Mincho"/>
        </w:rPr>
        <w:t>.  Suspensions</w:t>
      </w:r>
      <w:r>
        <w:rPr>
          <w:rFonts w:eastAsia="MS Mincho"/>
        </w:rPr>
        <w:t xml:space="preserve"> remain in effect while HUD takes a debarment action or while awaiting some other legal action.  For example, when</w:t>
      </w:r>
      <w:r w:rsidR="001F4DD6">
        <w:rPr>
          <w:rFonts w:eastAsia="MS Mincho"/>
        </w:rPr>
        <w:t xml:space="preserve"> a MFH participant is indicted (charged) with a crime, but has not yet been convicted</w:t>
      </w:r>
      <w:r>
        <w:rPr>
          <w:rFonts w:eastAsia="MS Mincho"/>
        </w:rPr>
        <w:t>, HUD may suspend the participant while HUD awaits the final outcome of the criminal prosecution</w:t>
      </w:r>
      <w:r w:rsidR="0020547B">
        <w:rPr>
          <w:rFonts w:eastAsia="MS Mincho"/>
        </w:rPr>
        <w:t>.</w:t>
      </w:r>
    </w:p>
    <w:p w14:paraId="0BD7FE8E" w14:textId="77777777" w:rsidR="001F4DD6" w:rsidRDefault="001F4DD6" w:rsidP="005E48CC">
      <w:pPr>
        <w:pStyle w:val="level5text"/>
        <w:rPr>
          <w:rFonts w:eastAsia="MS Mincho"/>
        </w:rPr>
      </w:pPr>
      <w:r>
        <w:rPr>
          <w:rFonts w:eastAsia="MS Mincho"/>
        </w:rPr>
        <w:t xml:space="preserve">Debarments </w:t>
      </w:r>
      <w:r w:rsidR="00A83CB3">
        <w:rPr>
          <w:rFonts w:eastAsia="MS Mincho"/>
        </w:rPr>
        <w:t xml:space="preserve">– Debarments are for a fixed period </w:t>
      </w:r>
      <w:r>
        <w:rPr>
          <w:rFonts w:eastAsia="MS Mincho"/>
        </w:rPr>
        <w:t xml:space="preserve">and are final.  </w:t>
      </w:r>
      <w:r w:rsidR="0020547B">
        <w:rPr>
          <w:rFonts w:eastAsia="MS Mincho"/>
        </w:rPr>
        <w:t>A typical debarment period is three years, but may be shorter or longer, depending upon the circumstances.  Unlike suspensions, debarment proceedings have two stages: proposed and final.  Upon issuing notice of a proposed debarment, the DEC Director offers the participant an opportunity for a hearing.  If the participant is unable or unwilling to provide evidence that the participant should not be debarred, the DEC Director will debar the participant for a specified period of time.</w:t>
      </w:r>
    </w:p>
    <w:p w14:paraId="0BD7FE8F" w14:textId="77777777" w:rsidR="0020547B" w:rsidRDefault="0020547B" w:rsidP="005E48CC">
      <w:pPr>
        <w:pStyle w:val="level5text"/>
        <w:rPr>
          <w:rFonts w:eastAsia="MS Mincho"/>
        </w:rPr>
      </w:pPr>
      <w:r>
        <w:rPr>
          <w:rFonts w:eastAsia="MS Mincho"/>
        </w:rPr>
        <w:t xml:space="preserve">For information on how to refer a participant for suspension or debarment, please refer to Exhibit </w:t>
      </w:r>
      <w:r w:rsidR="00E13847">
        <w:rPr>
          <w:rFonts w:eastAsia="MS Mincho"/>
        </w:rPr>
        <w:t>5</w:t>
      </w:r>
      <w:r>
        <w:rPr>
          <w:rFonts w:eastAsia="MS Mincho"/>
        </w:rPr>
        <w:t>-1.  Of course, it may also be helpful to discuss the matter first with your local DEC satellite office or the DEC’s Compliance Division Director in Headquarters.</w:t>
      </w:r>
    </w:p>
    <w:p w14:paraId="0BD7FE90" w14:textId="77777777" w:rsidR="00B57CCF" w:rsidRPr="00541547" w:rsidRDefault="00B57CCF" w:rsidP="002408BA">
      <w:pPr>
        <w:pStyle w:val="level6text"/>
      </w:pPr>
    </w:p>
    <w:p w14:paraId="0BD7FE91" w14:textId="77777777" w:rsidR="00C5635F" w:rsidRDefault="00C5635F">
      <w:pPr>
        <w:spacing w:before="0" w:line="276" w:lineRule="auto"/>
        <w:ind w:left="0"/>
        <w:rPr>
          <w:rFonts w:eastAsia="MS Mincho"/>
        </w:rPr>
      </w:pPr>
      <w:bookmarkStart w:id="35" w:name="b_2_B"/>
      <w:bookmarkStart w:id="36" w:name="b_1_A"/>
      <w:bookmarkStart w:id="37" w:name="b_1_B"/>
      <w:bookmarkStart w:id="38" w:name="b_1_C"/>
      <w:bookmarkStart w:id="39" w:name="b_2"/>
      <w:bookmarkStart w:id="40" w:name="b_2_A"/>
      <w:bookmarkEnd w:id="35"/>
      <w:bookmarkEnd w:id="36"/>
      <w:bookmarkEnd w:id="37"/>
      <w:bookmarkEnd w:id="38"/>
      <w:bookmarkEnd w:id="39"/>
      <w:bookmarkEnd w:id="40"/>
      <w:r>
        <w:rPr>
          <w:rFonts w:eastAsia="MS Mincho"/>
        </w:rPr>
        <w:br w:type="page"/>
      </w:r>
    </w:p>
    <w:p w14:paraId="0BD7FE92" w14:textId="77777777" w:rsidR="00F176CA" w:rsidRDefault="00F176CA" w:rsidP="00EB1A0C"/>
    <w:p w14:paraId="0BD7FE93" w14:textId="77777777" w:rsidR="003B45BB" w:rsidRPr="00EB1A0C" w:rsidRDefault="00D36687" w:rsidP="00E13847">
      <w:pPr>
        <w:pStyle w:val="Heading1"/>
        <w:numPr>
          <w:ilvl w:val="0"/>
          <w:numId w:val="0"/>
        </w:numPr>
        <w:ind w:left="1890"/>
      </w:pPr>
      <w:bookmarkStart w:id="41" w:name="_Toc410134289"/>
      <w:bookmarkStart w:id="42" w:name="_Toc424659474"/>
      <w:r>
        <w:t>Exhibit 5-1</w:t>
      </w:r>
      <w:r w:rsidR="00D4448A" w:rsidRPr="00EB1A0C">
        <w:t>Elective Referral Process for Suspensions, Debarments or Limited Denials of Participation</w:t>
      </w:r>
      <w:bookmarkEnd w:id="41"/>
      <w:r w:rsidR="003A29CC">
        <w:t xml:space="preserve"> (LDP)</w:t>
      </w:r>
      <w:bookmarkEnd w:id="42"/>
    </w:p>
    <w:p w14:paraId="0BD7FE94" w14:textId="77777777" w:rsidR="00B57CCF" w:rsidRPr="000C3CF7" w:rsidRDefault="00351F8D" w:rsidP="003E2AED">
      <w:pPr>
        <w:shd w:val="clear" w:color="auto" w:fill="FFFFFF"/>
        <w:ind w:left="0"/>
      </w:pPr>
      <w:r>
        <w:rPr>
          <w:bCs/>
        </w:rPr>
        <w:t>Office of Multifamily Housing (</w:t>
      </w:r>
      <w:r w:rsidR="003A29CC">
        <w:rPr>
          <w:bCs/>
        </w:rPr>
        <w:t>MFH</w:t>
      </w:r>
      <w:r>
        <w:rPr>
          <w:bCs/>
        </w:rPr>
        <w:t>)</w:t>
      </w:r>
      <w:r w:rsidR="003A29CC">
        <w:rPr>
          <w:bCs/>
        </w:rPr>
        <w:t xml:space="preserve"> </w:t>
      </w:r>
      <w:r w:rsidR="00B57CCF">
        <w:rPr>
          <w:bCs/>
        </w:rPr>
        <w:t>Account Executives wishing to make an elective referral to the D</w:t>
      </w:r>
      <w:r>
        <w:rPr>
          <w:bCs/>
        </w:rPr>
        <w:t xml:space="preserve">epartmental </w:t>
      </w:r>
      <w:r w:rsidR="00B57CCF">
        <w:rPr>
          <w:bCs/>
        </w:rPr>
        <w:t>E</w:t>
      </w:r>
      <w:r>
        <w:rPr>
          <w:bCs/>
        </w:rPr>
        <w:t xml:space="preserve">nforcement </w:t>
      </w:r>
      <w:r w:rsidR="00B57CCF">
        <w:rPr>
          <w:bCs/>
        </w:rPr>
        <w:t>C</w:t>
      </w:r>
      <w:r>
        <w:rPr>
          <w:bCs/>
        </w:rPr>
        <w:t>enter (DEC)</w:t>
      </w:r>
      <w:r w:rsidR="00B57CCF">
        <w:rPr>
          <w:bCs/>
        </w:rPr>
        <w:t xml:space="preserve"> for an exclusory action should prepare a </w:t>
      </w:r>
      <w:r w:rsidR="00B57CCF" w:rsidRPr="000C3CF7">
        <w:rPr>
          <w:bCs/>
        </w:rPr>
        <w:t xml:space="preserve">referral package </w:t>
      </w:r>
      <w:r w:rsidR="00B57CCF">
        <w:rPr>
          <w:bCs/>
        </w:rPr>
        <w:t>that includes the following:</w:t>
      </w:r>
      <w:r w:rsidR="00B57CCF" w:rsidRPr="000C3CF7">
        <w:t xml:space="preserve"> </w:t>
      </w:r>
    </w:p>
    <w:p w14:paraId="0BD7FE95" w14:textId="77777777" w:rsidR="00B57CCF" w:rsidRPr="000C3CF7" w:rsidRDefault="00B57CCF" w:rsidP="003E2AED">
      <w:pPr>
        <w:shd w:val="clear" w:color="auto" w:fill="FFFFFF"/>
        <w:spacing w:before="100" w:beforeAutospacing="1" w:after="100" w:afterAutospacing="1"/>
        <w:ind w:left="0"/>
      </w:pPr>
      <w:r w:rsidRPr="000C3CF7">
        <w:t xml:space="preserve">1. </w:t>
      </w:r>
      <w:r>
        <w:t>For all parties (individuals or entities) being considered for exclusion, the c</w:t>
      </w:r>
      <w:r w:rsidRPr="000C3CF7">
        <w:t>omplete names, aliases, current addresses</w:t>
      </w:r>
      <w:r>
        <w:t xml:space="preserve"> (including </w:t>
      </w:r>
      <w:r w:rsidRPr="000C3CF7">
        <w:t>zip code</w:t>
      </w:r>
      <w:r>
        <w:t>s)</w:t>
      </w:r>
      <w:r w:rsidRPr="000C3CF7">
        <w:t xml:space="preserve"> and a list of known affiliates</w:t>
      </w:r>
      <w:r>
        <w:t xml:space="preserve"> of the person or entities.</w:t>
      </w:r>
      <w:r w:rsidRPr="000C3CF7">
        <w:t xml:space="preserve"> </w:t>
      </w:r>
    </w:p>
    <w:p w14:paraId="0BD7FE96" w14:textId="77777777" w:rsidR="00C730EC" w:rsidRPr="004A6781" w:rsidRDefault="00B57CCF" w:rsidP="004A6781">
      <w:pPr>
        <w:pStyle w:val="CommentText"/>
        <w:ind w:left="0"/>
        <w:rPr>
          <w:sz w:val="24"/>
          <w:szCs w:val="24"/>
        </w:rPr>
      </w:pPr>
      <w:r w:rsidRPr="004A6781">
        <w:rPr>
          <w:sz w:val="24"/>
          <w:szCs w:val="24"/>
        </w:rPr>
        <w:t>2. A narrative statement in chronological order identifying the criminal, civil</w:t>
      </w:r>
      <w:r w:rsidR="004A6781">
        <w:rPr>
          <w:sz w:val="24"/>
          <w:szCs w:val="24"/>
        </w:rPr>
        <w:t xml:space="preserve"> </w:t>
      </w:r>
      <w:r w:rsidRPr="004A6781">
        <w:rPr>
          <w:sz w:val="24"/>
          <w:szCs w:val="24"/>
        </w:rPr>
        <w:t xml:space="preserve">or program violations that form the basis for the recommended exclusion. </w:t>
      </w:r>
    </w:p>
    <w:p w14:paraId="0BD7FE97" w14:textId="77777777" w:rsidR="00317BA9" w:rsidRDefault="00B57CCF" w:rsidP="003E2AED">
      <w:pPr>
        <w:shd w:val="clear" w:color="auto" w:fill="FFFFFF"/>
        <w:spacing w:before="100" w:beforeAutospacing="1" w:after="100" w:afterAutospacing="1"/>
        <w:ind w:left="0"/>
      </w:pPr>
      <w:r w:rsidRPr="000C3CF7">
        <w:t>3. Evidence showing that the ref</w:t>
      </w:r>
      <w:r>
        <w:t>erred party participated in</w:t>
      </w:r>
      <w:r w:rsidR="00C730EC">
        <w:t xml:space="preserve"> programs of</w:t>
      </w:r>
      <w:r>
        <w:t xml:space="preserve"> </w:t>
      </w:r>
      <w:r w:rsidR="00351F8D">
        <w:t>the U.S. Department of Housing and Urban Development (</w:t>
      </w:r>
      <w:r>
        <w:t>HUD</w:t>
      </w:r>
      <w:r w:rsidR="00351F8D">
        <w:t>)</w:t>
      </w:r>
      <w:r>
        <w:t>.</w:t>
      </w:r>
      <w:r w:rsidR="00C730EC">
        <w:t xml:space="preserve">  </w:t>
      </w:r>
    </w:p>
    <w:p w14:paraId="0BD7FE98" w14:textId="77777777" w:rsidR="00B57CCF" w:rsidRPr="000C3CF7" w:rsidRDefault="00B57CCF" w:rsidP="003E2AED">
      <w:pPr>
        <w:shd w:val="clear" w:color="auto" w:fill="FFFFFF"/>
        <w:spacing w:before="100" w:beforeAutospacing="1" w:after="100" w:afterAutospacing="1"/>
        <w:ind w:left="0"/>
      </w:pPr>
      <w:r w:rsidRPr="000C3CF7">
        <w:t xml:space="preserve">4. Copies of all documents/records relating to the referral, such as correspondence and emails between HUD and the referred party, audit/investigative reports and their status, involved supporting forms, related newspaper clippings, regulatory and management agreements, property inspection reports, signed interviews, affidavits, written and signed statements, and grant applications and agreements, etc. </w:t>
      </w:r>
    </w:p>
    <w:p w14:paraId="0BD7FE99" w14:textId="77777777" w:rsidR="00B57CCF" w:rsidRPr="000C3CF7" w:rsidRDefault="00B57CCF" w:rsidP="003E2AED">
      <w:pPr>
        <w:shd w:val="clear" w:color="auto" w:fill="FFFFFF"/>
        <w:spacing w:before="100" w:beforeAutospacing="1" w:after="100" w:afterAutospacing="1"/>
        <w:ind w:left="0"/>
      </w:pPr>
      <w:r w:rsidRPr="000C3CF7">
        <w:t>5. Any information that mitigates, justifies</w:t>
      </w:r>
      <w:r>
        <w:t>,</w:t>
      </w:r>
      <w:r w:rsidRPr="000C3CF7">
        <w:t xml:space="preserve"> or explains the violations from the standpoint of the referred party/parties. </w:t>
      </w:r>
    </w:p>
    <w:p w14:paraId="0BD7FE9A" w14:textId="77777777" w:rsidR="00B57CCF" w:rsidRPr="000C3CF7" w:rsidRDefault="00B57CCF" w:rsidP="003E2AED">
      <w:pPr>
        <w:shd w:val="clear" w:color="auto" w:fill="FFFFFF"/>
        <w:spacing w:before="100" w:beforeAutospacing="1" w:after="100" w:afterAutospacing="1"/>
        <w:ind w:left="0"/>
      </w:pPr>
      <w:r w:rsidRPr="000C3CF7">
        <w:t xml:space="preserve">6. The names and telephone numbers of the HUD staff and other persons who are most familiar with the facts of the case and the HUD staff who are knowledgeable with the HUD requirements. </w:t>
      </w:r>
    </w:p>
    <w:p w14:paraId="0BD7FE9B" w14:textId="77777777" w:rsidR="00B57CCF" w:rsidRPr="000C3CF7" w:rsidRDefault="00B57CCF" w:rsidP="003E2AED">
      <w:pPr>
        <w:shd w:val="clear" w:color="auto" w:fill="FFFFFF"/>
        <w:spacing w:before="100" w:beforeAutospacing="1" w:after="100" w:afterAutospacing="1"/>
        <w:ind w:left="0"/>
      </w:pPr>
      <w:r w:rsidRPr="000C3CF7">
        <w:t xml:space="preserve">7. </w:t>
      </w:r>
      <w:r>
        <w:t>If applicable, a</w:t>
      </w:r>
      <w:r w:rsidRPr="000C3CF7">
        <w:t xml:space="preserve"> statement of justification as to why immediate suspension of the party is necessary to protect the public interest. </w:t>
      </w:r>
    </w:p>
    <w:p w14:paraId="0BD7FE9C" w14:textId="77777777" w:rsidR="00B57CCF" w:rsidRPr="000C3CF7" w:rsidRDefault="00B57CCF" w:rsidP="003E2AED">
      <w:pPr>
        <w:shd w:val="clear" w:color="auto" w:fill="FFFFFF"/>
        <w:spacing w:before="100" w:beforeAutospacing="1" w:after="100" w:afterAutospacing="1"/>
        <w:ind w:left="0"/>
      </w:pPr>
      <w:r w:rsidRPr="000C3CF7">
        <w:t xml:space="preserve">8. Information concerning any other field offices, if known, in which the referred party is participating and the status of their participation. </w:t>
      </w:r>
    </w:p>
    <w:p w14:paraId="0BD7FE9D" w14:textId="77777777" w:rsidR="00B57CCF" w:rsidRPr="000C3CF7" w:rsidRDefault="00B57CCF" w:rsidP="003E2AED">
      <w:pPr>
        <w:shd w:val="clear" w:color="auto" w:fill="FFFFFF"/>
        <w:spacing w:before="100" w:beforeAutospacing="1" w:after="100" w:afterAutospacing="1"/>
        <w:ind w:left="0"/>
      </w:pPr>
      <w:r w:rsidRPr="000C3CF7">
        <w:t xml:space="preserve">9. Social Security Numbers and/or Tax Identification Numbers of the referred parties, if available. </w:t>
      </w:r>
    </w:p>
    <w:p w14:paraId="0BD7FE9E" w14:textId="77777777" w:rsidR="00B57CCF" w:rsidRPr="000C3CF7" w:rsidRDefault="00B57CCF" w:rsidP="003E2AED">
      <w:pPr>
        <w:shd w:val="clear" w:color="auto" w:fill="FFFFFF"/>
        <w:spacing w:before="100" w:beforeAutospacing="1" w:after="100" w:afterAutospacing="1"/>
        <w:ind w:left="0"/>
      </w:pPr>
      <w:r w:rsidRPr="000C3CF7">
        <w:t xml:space="preserve">10. Any additional information that would be helpful in evaluating the referral. </w:t>
      </w:r>
    </w:p>
    <w:p w14:paraId="0BD7FE9F" w14:textId="77777777" w:rsidR="00B57CCF" w:rsidRPr="000C3CF7" w:rsidRDefault="00B57CCF" w:rsidP="00351F8D">
      <w:pPr>
        <w:keepNext/>
        <w:shd w:val="clear" w:color="auto" w:fill="FFFFFF"/>
        <w:spacing w:before="100" w:beforeAutospacing="1" w:after="120"/>
        <w:ind w:left="0"/>
      </w:pPr>
      <w:r>
        <w:rPr>
          <w:b/>
          <w:bCs/>
        </w:rPr>
        <w:t>Submit the</w:t>
      </w:r>
      <w:r w:rsidRPr="000C3CF7">
        <w:rPr>
          <w:b/>
          <w:bCs/>
        </w:rPr>
        <w:t xml:space="preserve"> Referral by mail to: </w:t>
      </w:r>
    </w:p>
    <w:p w14:paraId="0BD7FEA0" w14:textId="77777777" w:rsidR="003E521B" w:rsidRPr="003E2AED" w:rsidRDefault="00B57CCF" w:rsidP="003E2AED">
      <w:pPr>
        <w:pStyle w:val="NoSpacing"/>
        <w:keepNext/>
        <w:rPr>
          <w:rFonts w:eastAsia="Times New Roman" w:cs="Arial"/>
          <w:szCs w:val="24"/>
        </w:rPr>
      </w:pPr>
      <w:r w:rsidRPr="003E2AED">
        <w:rPr>
          <w:rFonts w:eastAsia="Times New Roman" w:cs="Arial"/>
          <w:szCs w:val="24"/>
        </w:rPr>
        <w:t>Department of Housing and Urban De</w:t>
      </w:r>
      <w:r w:rsidR="003E521B" w:rsidRPr="003E2AED">
        <w:rPr>
          <w:rFonts w:eastAsia="Times New Roman" w:cs="Arial"/>
          <w:szCs w:val="24"/>
        </w:rPr>
        <w:t>velopment, Compliance Division</w:t>
      </w:r>
    </w:p>
    <w:p w14:paraId="0BD7FEA1" w14:textId="77777777" w:rsidR="003E521B" w:rsidRPr="003E2AED" w:rsidRDefault="00B57CCF" w:rsidP="003E2AED">
      <w:pPr>
        <w:pStyle w:val="NoSpacing"/>
        <w:keepNext/>
        <w:rPr>
          <w:rFonts w:eastAsia="Times New Roman" w:cs="Arial"/>
          <w:szCs w:val="24"/>
        </w:rPr>
      </w:pPr>
      <w:r w:rsidRPr="003E2AED">
        <w:rPr>
          <w:rFonts w:eastAsia="Times New Roman" w:cs="Arial"/>
          <w:szCs w:val="24"/>
        </w:rPr>
        <w:t>D</w:t>
      </w:r>
      <w:r w:rsidR="003E521B" w:rsidRPr="003E2AED">
        <w:rPr>
          <w:rFonts w:eastAsia="Times New Roman" w:cs="Arial"/>
          <w:szCs w:val="24"/>
        </w:rPr>
        <w:t>epartmental Enforcement Center</w:t>
      </w:r>
    </w:p>
    <w:p w14:paraId="0BD7FEA2" w14:textId="77777777" w:rsidR="003E521B" w:rsidRPr="003E2AED" w:rsidRDefault="00B57CCF" w:rsidP="003E2AED">
      <w:pPr>
        <w:pStyle w:val="NoSpacing"/>
        <w:keepNext/>
        <w:rPr>
          <w:rFonts w:eastAsia="Times New Roman" w:cs="Arial"/>
          <w:szCs w:val="24"/>
        </w:rPr>
      </w:pPr>
      <w:r w:rsidRPr="003E2AED">
        <w:rPr>
          <w:rFonts w:eastAsia="Times New Roman" w:cs="Arial"/>
          <w:szCs w:val="24"/>
        </w:rPr>
        <w:t>Attn</w:t>
      </w:r>
      <w:r w:rsidR="003E521B" w:rsidRPr="003E2AED">
        <w:rPr>
          <w:rFonts w:eastAsia="Times New Roman" w:cs="Arial"/>
          <w:szCs w:val="24"/>
        </w:rPr>
        <w:t>: Director, Compliance Division</w:t>
      </w:r>
    </w:p>
    <w:p w14:paraId="0BD7FEA3" w14:textId="77777777" w:rsidR="003E521B" w:rsidRPr="003E2AED" w:rsidRDefault="00B57CCF" w:rsidP="003E2AED">
      <w:pPr>
        <w:pStyle w:val="NoSpacing"/>
        <w:keepNext/>
        <w:rPr>
          <w:rFonts w:eastAsia="Times New Roman" w:cs="Arial"/>
          <w:szCs w:val="24"/>
        </w:rPr>
      </w:pPr>
      <w:r w:rsidRPr="003E2AED">
        <w:rPr>
          <w:rFonts w:eastAsia="Times New Roman" w:cs="Arial"/>
          <w:szCs w:val="24"/>
        </w:rPr>
        <w:t>1250 Maryland Avenue, SW</w:t>
      </w:r>
      <w:r w:rsidR="003E521B" w:rsidRPr="003E2AED">
        <w:rPr>
          <w:rFonts w:eastAsia="Times New Roman" w:cs="Arial"/>
          <w:szCs w:val="24"/>
        </w:rPr>
        <w:t>, Portals Building, Suite 200</w:t>
      </w:r>
    </w:p>
    <w:p w14:paraId="0BD7FEA4" w14:textId="77777777" w:rsidR="00D4448A" w:rsidRPr="003E2AED" w:rsidRDefault="00B57CCF" w:rsidP="003E2AED">
      <w:pPr>
        <w:pStyle w:val="NoSpacing"/>
        <w:rPr>
          <w:rFonts w:eastAsia="Times New Roman" w:cs="Arial"/>
          <w:szCs w:val="24"/>
        </w:rPr>
      </w:pPr>
      <w:r w:rsidRPr="003E2AED">
        <w:rPr>
          <w:rFonts w:eastAsia="Times New Roman" w:cs="Arial"/>
          <w:szCs w:val="24"/>
        </w:rPr>
        <w:t>Washington, DC 20024</w:t>
      </w:r>
      <w:r w:rsidR="00D4448A" w:rsidRPr="003E2AED">
        <w:rPr>
          <w:rFonts w:eastAsia="Times New Roman" w:cs="Arial"/>
          <w:szCs w:val="24"/>
        </w:rPr>
        <w:br w:type="page"/>
      </w:r>
    </w:p>
    <w:p w14:paraId="0BD7FEA5" w14:textId="77777777" w:rsidR="00D4448A" w:rsidRPr="00C730EC" w:rsidRDefault="00D36687" w:rsidP="00E13847">
      <w:pPr>
        <w:pStyle w:val="Heading1"/>
        <w:numPr>
          <w:ilvl w:val="0"/>
          <w:numId w:val="0"/>
        </w:numPr>
        <w:ind w:left="1890"/>
      </w:pPr>
      <w:bookmarkStart w:id="43" w:name="_Toc410134290"/>
      <w:bookmarkStart w:id="44" w:name="_Toc424659475"/>
      <w:r>
        <w:t xml:space="preserve">Exhibit 5-2 </w:t>
      </w:r>
      <w:r w:rsidR="00D4448A">
        <w:t>Acronyms</w:t>
      </w:r>
      <w:bookmarkEnd w:id="43"/>
      <w:bookmarkEnd w:id="44"/>
      <w:r w:rsidR="00C730EC">
        <w:t xml:space="preserve"> </w:t>
      </w:r>
    </w:p>
    <w:p w14:paraId="0BD7FEA6" w14:textId="77777777" w:rsidR="006C4524" w:rsidRDefault="006C4524" w:rsidP="006C4524">
      <w:r w:rsidRPr="008E7A69">
        <w:rPr>
          <w:b/>
        </w:rPr>
        <w:t>ABA</w:t>
      </w:r>
      <w:r w:rsidR="0018303F">
        <w:t xml:space="preserve"> – </w:t>
      </w:r>
      <w:r>
        <w:t>Architectural Barriers Act of 1968 (ABA)</w:t>
      </w:r>
    </w:p>
    <w:p w14:paraId="0BD7FEA7" w14:textId="77777777" w:rsidR="00317BA9" w:rsidRDefault="006C4524" w:rsidP="006C4524">
      <w:pPr>
        <w:rPr>
          <w:b/>
        </w:rPr>
      </w:pPr>
      <w:r w:rsidRPr="008E7A69">
        <w:rPr>
          <w:b/>
        </w:rPr>
        <w:t>ADA</w:t>
      </w:r>
      <w:r w:rsidR="0018303F">
        <w:t xml:space="preserve"> – </w:t>
      </w:r>
      <w:r w:rsidRPr="00317BA9">
        <w:t xml:space="preserve">Americans </w:t>
      </w:r>
      <w:r w:rsidR="00F10440" w:rsidRPr="00317BA9">
        <w:t>w</w:t>
      </w:r>
      <w:r w:rsidRPr="00317BA9">
        <w:t>ith Disabilit</w:t>
      </w:r>
      <w:r w:rsidR="00F10440" w:rsidRPr="00317BA9">
        <w:t>ies</w:t>
      </w:r>
      <w:r w:rsidRPr="00317BA9">
        <w:t xml:space="preserve"> Act</w:t>
      </w:r>
      <w:r w:rsidRPr="00317BA9">
        <w:rPr>
          <w:b/>
        </w:rPr>
        <w:t xml:space="preserve"> </w:t>
      </w:r>
      <w:r w:rsidR="00C730EC" w:rsidRPr="00317BA9">
        <w:rPr>
          <w:b/>
        </w:rPr>
        <w:t xml:space="preserve"> </w:t>
      </w:r>
    </w:p>
    <w:p w14:paraId="0BD7FEA8" w14:textId="77777777" w:rsidR="006C4524" w:rsidRDefault="006C4524" w:rsidP="006C4524">
      <w:r w:rsidRPr="008E7A69">
        <w:rPr>
          <w:b/>
        </w:rPr>
        <w:t>AFHMP</w:t>
      </w:r>
      <w:r>
        <w:t xml:space="preserve"> </w:t>
      </w:r>
      <w:r w:rsidR="0018303F">
        <w:t>–</w:t>
      </w:r>
      <w:r>
        <w:t xml:space="preserve"> Affirmative Fair Housing Marketing Plans</w:t>
      </w:r>
    </w:p>
    <w:p w14:paraId="0BD7FEA9" w14:textId="77777777" w:rsidR="006C4524" w:rsidRDefault="006C4524" w:rsidP="006C4524">
      <w:r w:rsidRPr="008E7A69">
        <w:rPr>
          <w:b/>
        </w:rPr>
        <w:t>AFS</w:t>
      </w:r>
      <w:r>
        <w:t xml:space="preserve"> </w:t>
      </w:r>
      <w:r w:rsidR="0018303F">
        <w:t>–</w:t>
      </w:r>
      <w:r>
        <w:t xml:space="preserve"> Annual Audited Financial Statements</w:t>
      </w:r>
    </w:p>
    <w:p w14:paraId="0BD7FEAA" w14:textId="77777777" w:rsidR="006C4524" w:rsidRDefault="006C4524" w:rsidP="006C4524">
      <w:r w:rsidRPr="008E7A69">
        <w:rPr>
          <w:b/>
        </w:rPr>
        <w:t>APPS</w:t>
      </w:r>
      <w:r>
        <w:t xml:space="preserve"> </w:t>
      </w:r>
      <w:r w:rsidR="0018303F">
        <w:t>–</w:t>
      </w:r>
      <w:r>
        <w:t xml:space="preserve"> Active Partners Performance System</w:t>
      </w:r>
    </w:p>
    <w:p w14:paraId="0BD7FEAB" w14:textId="77777777" w:rsidR="006C4524" w:rsidRDefault="006C4524" w:rsidP="006C4524">
      <w:r w:rsidRPr="008E7A69">
        <w:rPr>
          <w:b/>
        </w:rPr>
        <w:t>CA</w:t>
      </w:r>
      <w:r>
        <w:t xml:space="preserve"> </w:t>
      </w:r>
      <w:r w:rsidR="0018303F">
        <w:t>–</w:t>
      </w:r>
      <w:r>
        <w:t xml:space="preserve"> Contract Administrator</w:t>
      </w:r>
    </w:p>
    <w:p w14:paraId="0BD7FEAC" w14:textId="77777777" w:rsidR="0018303F" w:rsidRPr="0018303F" w:rsidRDefault="0018303F" w:rsidP="006C4524">
      <w:r>
        <w:rPr>
          <w:b/>
        </w:rPr>
        <w:t>CMP</w:t>
      </w:r>
      <w:r>
        <w:t xml:space="preserve"> – Civil Money Penalty</w:t>
      </w:r>
    </w:p>
    <w:p w14:paraId="0BD7FEAD" w14:textId="77777777" w:rsidR="006C4524" w:rsidRDefault="006C4524" w:rsidP="00D6325C">
      <w:r w:rsidRPr="00D6325C">
        <w:rPr>
          <w:b/>
        </w:rPr>
        <w:t>DEC</w:t>
      </w:r>
      <w:r>
        <w:t xml:space="preserve"> </w:t>
      </w:r>
      <w:r w:rsidR="0018303F">
        <w:t>–</w:t>
      </w:r>
      <w:r>
        <w:t xml:space="preserve"> Departmental Enforcement Center</w:t>
      </w:r>
    </w:p>
    <w:p w14:paraId="0BD7FEAE" w14:textId="77777777" w:rsidR="006C4524" w:rsidRDefault="006C4524" w:rsidP="006C4524">
      <w:r w:rsidRPr="008E7A69">
        <w:rPr>
          <w:b/>
        </w:rPr>
        <w:t>DOJ</w:t>
      </w:r>
      <w:r>
        <w:t xml:space="preserve"> </w:t>
      </w:r>
      <w:r w:rsidR="0018303F">
        <w:t>–</w:t>
      </w:r>
      <w:r>
        <w:t xml:space="preserve"> Department of Justice</w:t>
      </w:r>
    </w:p>
    <w:p w14:paraId="0BD7FEAF" w14:textId="77777777" w:rsidR="006C4524" w:rsidRDefault="006C4524" w:rsidP="006C4524">
      <w:r w:rsidRPr="008E7A69">
        <w:rPr>
          <w:b/>
        </w:rPr>
        <w:t>FHA</w:t>
      </w:r>
      <w:r>
        <w:t xml:space="preserve"> </w:t>
      </w:r>
      <w:r w:rsidR="0018303F">
        <w:t>–</w:t>
      </w:r>
      <w:r>
        <w:t xml:space="preserve"> Federal Housing Administration</w:t>
      </w:r>
    </w:p>
    <w:p w14:paraId="0BD7FEB0" w14:textId="77777777" w:rsidR="006C4524" w:rsidRDefault="006C4524" w:rsidP="006C4524">
      <w:r w:rsidRPr="008E7A69">
        <w:rPr>
          <w:b/>
        </w:rPr>
        <w:t>FHEO</w:t>
      </w:r>
      <w:r>
        <w:t xml:space="preserve"> </w:t>
      </w:r>
      <w:r w:rsidR="0018303F">
        <w:t>–</w:t>
      </w:r>
      <w:r>
        <w:t xml:space="preserve"> Fair Housing and Equal Opportunity (HUD's Office of)</w:t>
      </w:r>
    </w:p>
    <w:p w14:paraId="0BD7FEB1" w14:textId="77777777" w:rsidR="006C4524" w:rsidRDefault="00E13847" w:rsidP="006C4524">
      <w:r>
        <w:rPr>
          <w:b/>
        </w:rPr>
        <w:t>GOP</w:t>
      </w:r>
      <w:r w:rsidR="001B67AF">
        <w:rPr>
          <w:b/>
        </w:rPr>
        <w:t xml:space="preserve"> </w:t>
      </w:r>
      <w:r w:rsidR="0018303F">
        <w:t>–</w:t>
      </w:r>
      <w:r w:rsidR="006C4524">
        <w:t xml:space="preserve"> General Operating Procedures</w:t>
      </w:r>
    </w:p>
    <w:p w14:paraId="0BD7FEB2" w14:textId="77777777" w:rsidR="006C4524" w:rsidRDefault="006C4524" w:rsidP="006C4524">
      <w:r w:rsidRPr="008E7A69">
        <w:rPr>
          <w:b/>
        </w:rPr>
        <w:t>HAP</w:t>
      </w:r>
      <w:r>
        <w:t xml:space="preserve"> </w:t>
      </w:r>
      <w:r w:rsidR="0018303F">
        <w:t>–</w:t>
      </w:r>
      <w:r>
        <w:t xml:space="preserve"> Housing Assistance Payment</w:t>
      </w:r>
    </w:p>
    <w:p w14:paraId="0BD7FEB3" w14:textId="77777777" w:rsidR="00EE24CD" w:rsidRDefault="00EE24CD" w:rsidP="00EE24CD">
      <w:r w:rsidRPr="00EE24CD">
        <w:rPr>
          <w:b/>
        </w:rPr>
        <w:t>HDCA</w:t>
      </w:r>
      <w:r>
        <w:t xml:space="preserve"> – </w:t>
      </w:r>
      <w:r w:rsidRPr="00EE24CD">
        <w:t>Housing and Community Development Act of 1992</w:t>
      </w:r>
    </w:p>
    <w:p w14:paraId="0BD7FEB4" w14:textId="77777777" w:rsidR="00E633EF" w:rsidRDefault="00E633EF" w:rsidP="00E633EF">
      <w:r w:rsidRPr="008E7A69">
        <w:rPr>
          <w:b/>
        </w:rPr>
        <w:t>HUD</w:t>
      </w:r>
      <w:r>
        <w:t xml:space="preserve"> </w:t>
      </w:r>
      <w:r w:rsidR="0018303F">
        <w:t>–</w:t>
      </w:r>
      <w:r>
        <w:t xml:space="preserve"> US Department of Housing and Urban Development</w:t>
      </w:r>
    </w:p>
    <w:p w14:paraId="0BD7FEB5" w14:textId="77777777" w:rsidR="006C4524" w:rsidRDefault="006C4524" w:rsidP="006C4524">
      <w:r w:rsidRPr="008E7A69">
        <w:rPr>
          <w:b/>
        </w:rPr>
        <w:t>iREMS</w:t>
      </w:r>
      <w:r>
        <w:t xml:space="preserve"> </w:t>
      </w:r>
      <w:r w:rsidR="0018303F">
        <w:t>–</w:t>
      </w:r>
      <w:r>
        <w:t xml:space="preserve"> Integrated Real Estate </w:t>
      </w:r>
      <w:r w:rsidR="00E633EF">
        <w:t>Management</w:t>
      </w:r>
      <w:r>
        <w:t xml:space="preserve"> System</w:t>
      </w:r>
    </w:p>
    <w:p w14:paraId="0BD7FEB6" w14:textId="77777777" w:rsidR="006C4524" w:rsidRDefault="006C4524" w:rsidP="006C4524">
      <w:r w:rsidRPr="008E7A69">
        <w:rPr>
          <w:b/>
        </w:rPr>
        <w:t>LDP</w:t>
      </w:r>
      <w:r>
        <w:t xml:space="preserve"> </w:t>
      </w:r>
      <w:r w:rsidR="0018303F">
        <w:t>–</w:t>
      </w:r>
      <w:r>
        <w:t xml:space="preserve"> Limited Denial of Participation</w:t>
      </w:r>
    </w:p>
    <w:p w14:paraId="0BD7FEB7" w14:textId="77777777" w:rsidR="006C4524" w:rsidRDefault="006C4524" w:rsidP="006C4524">
      <w:r w:rsidRPr="008E7A69">
        <w:rPr>
          <w:b/>
        </w:rPr>
        <w:t>LEP</w:t>
      </w:r>
      <w:r>
        <w:t xml:space="preserve"> - Limited English Proficiency</w:t>
      </w:r>
    </w:p>
    <w:p w14:paraId="0BD7FEB8" w14:textId="77777777" w:rsidR="00921688" w:rsidRDefault="00921688" w:rsidP="006C4524">
      <w:r>
        <w:rPr>
          <w:b/>
        </w:rPr>
        <w:t xml:space="preserve">LIHTC </w:t>
      </w:r>
      <w:r>
        <w:t>– Low Income Housing Tax Credit</w:t>
      </w:r>
    </w:p>
    <w:p w14:paraId="0BD7FEB9" w14:textId="77777777" w:rsidR="006C4524" w:rsidRDefault="006C4524" w:rsidP="00D6325C">
      <w:r w:rsidRPr="00D6325C">
        <w:rPr>
          <w:b/>
        </w:rPr>
        <w:t>MFH</w:t>
      </w:r>
      <w:r>
        <w:t xml:space="preserve"> </w:t>
      </w:r>
      <w:r w:rsidR="00DF4ABC">
        <w:t>–</w:t>
      </w:r>
      <w:r>
        <w:t xml:space="preserve"> Office of Multifamily Housing</w:t>
      </w:r>
    </w:p>
    <w:p w14:paraId="0BD7FEBA" w14:textId="77777777" w:rsidR="00DF4ABC" w:rsidRDefault="00E633EF" w:rsidP="00E633EF">
      <w:r w:rsidRPr="00F73158">
        <w:rPr>
          <w:b/>
        </w:rPr>
        <w:t>MSA</w:t>
      </w:r>
      <w:r>
        <w:t xml:space="preserve"> </w:t>
      </w:r>
      <w:r w:rsidR="00DF4ABC">
        <w:t>–</w:t>
      </w:r>
      <w:r>
        <w:t xml:space="preserve"> Metropolitan Statistical Area</w:t>
      </w:r>
    </w:p>
    <w:p w14:paraId="0BD7FEBB" w14:textId="77777777" w:rsidR="00E633EF" w:rsidRDefault="00E633EF" w:rsidP="00E633EF">
      <w:r w:rsidRPr="008D3DF0">
        <w:rPr>
          <w:b/>
        </w:rPr>
        <w:t>OCAF</w:t>
      </w:r>
      <w:r>
        <w:t xml:space="preserve"> </w:t>
      </w:r>
      <w:r w:rsidR="00DF4ABC">
        <w:t>–</w:t>
      </w:r>
      <w:r>
        <w:t xml:space="preserve"> Operating Cost Adjustment Factor</w:t>
      </w:r>
    </w:p>
    <w:p w14:paraId="0BD7FEBC" w14:textId="77777777" w:rsidR="000A56B9" w:rsidRDefault="000A56B9" w:rsidP="006C4524">
      <w:pPr>
        <w:rPr>
          <w:b/>
        </w:rPr>
      </w:pPr>
      <w:r>
        <w:rPr>
          <w:b/>
        </w:rPr>
        <w:t xml:space="preserve">OGC </w:t>
      </w:r>
      <w:r>
        <w:t>– Office of General Counsel</w:t>
      </w:r>
    </w:p>
    <w:p w14:paraId="0BD7FEBD" w14:textId="77777777" w:rsidR="006C4524" w:rsidRDefault="006C4524" w:rsidP="006C4524">
      <w:r w:rsidRPr="008E7A69">
        <w:rPr>
          <w:b/>
        </w:rPr>
        <w:t>OIG</w:t>
      </w:r>
      <w:r>
        <w:t xml:space="preserve"> </w:t>
      </w:r>
      <w:r w:rsidR="00DF4ABC">
        <w:t>–</w:t>
      </w:r>
      <w:r>
        <w:t xml:space="preserve"> Office of Inspector General</w:t>
      </w:r>
    </w:p>
    <w:p w14:paraId="0BD7FEBE" w14:textId="77777777" w:rsidR="00371BA5" w:rsidRDefault="00371BA5" w:rsidP="006C4524">
      <w:r>
        <w:rPr>
          <w:b/>
        </w:rPr>
        <w:t xml:space="preserve">OMB </w:t>
      </w:r>
      <w:r>
        <w:t>– Office of Management and Budget</w:t>
      </w:r>
    </w:p>
    <w:p w14:paraId="0BD7FEBF" w14:textId="77777777" w:rsidR="00E13847" w:rsidRDefault="00E13847" w:rsidP="006C4524">
      <w:r>
        <w:rPr>
          <w:b/>
        </w:rPr>
        <w:t xml:space="preserve">PASS </w:t>
      </w:r>
      <w:r>
        <w:t>– Physical Inspection Subsystem</w:t>
      </w:r>
    </w:p>
    <w:p w14:paraId="0BD7FEC0" w14:textId="77777777" w:rsidR="006C4524" w:rsidRDefault="006C4524" w:rsidP="006C4524">
      <w:r w:rsidRPr="008E7A69">
        <w:rPr>
          <w:b/>
        </w:rPr>
        <w:t>PBCA</w:t>
      </w:r>
      <w:r>
        <w:t xml:space="preserve"> </w:t>
      </w:r>
      <w:r w:rsidR="00DF4ABC">
        <w:t>–</w:t>
      </w:r>
      <w:r>
        <w:t xml:space="preserve"> Performance Based Contract </w:t>
      </w:r>
      <w:r w:rsidR="00E633EF">
        <w:t>Administrators</w:t>
      </w:r>
    </w:p>
    <w:p w14:paraId="0BD7FEC1" w14:textId="77777777" w:rsidR="006C4524" w:rsidRDefault="006C4524" w:rsidP="006C4524">
      <w:r w:rsidRPr="008E7A69">
        <w:rPr>
          <w:b/>
        </w:rPr>
        <w:t>PHA</w:t>
      </w:r>
      <w:r>
        <w:t xml:space="preserve"> </w:t>
      </w:r>
      <w:r w:rsidR="00DF4ABC">
        <w:t>–</w:t>
      </w:r>
      <w:r>
        <w:t xml:space="preserve"> Public Housing Agency</w:t>
      </w:r>
    </w:p>
    <w:p w14:paraId="0BD7FEC2" w14:textId="77777777" w:rsidR="00E633EF" w:rsidRDefault="00E633EF" w:rsidP="00E633EF">
      <w:r w:rsidRPr="00046EC4">
        <w:rPr>
          <w:b/>
        </w:rPr>
        <w:t>RAP</w:t>
      </w:r>
      <w:r>
        <w:t xml:space="preserve"> </w:t>
      </w:r>
      <w:r w:rsidR="00DF4ABC">
        <w:t>–</w:t>
      </w:r>
      <w:r>
        <w:t xml:space="preserve"> Rental Assistance payment</w:t>
      </w:r>
    </w:p>
    <w:p w14:paraId="0BD7FEC3" w14:textId="77777777" w:rsidR="006C4524" w:rsidRDefault="00E633EF" w:rsidP="00D6325C">
      <w:r>
        <w:rPr>
          <w:b/>
        </w:rPr>
        <w:t>R</w:t>
      </w:r>
      <w:r w:rsidR="006C4524" w:rsidRPr="00D6325C">
        <w:rPr>
          <w:b/>
        </w:rPr>
        <w:t>EAC</w:t>
      </w:r>
      <w:r w:rsidR="006C4524">
        <w:t xml:space="preserve"> </w:t>
      </w:r>
      <w:r w:rsidR="00DF4ABC">
        <w:t>–</w:t>
      </w:r>
      <w:r w:rsidR="006C4524">
        <w:t xml:space="preserve"> Real Estate </w:t>
      </w:r>
      <w:r>
        <w:t>Assessment</w:t>
      </w:r>
      <w:r w:rsidR="006C4524">
        <w:t xml:space="preserve"> Center</w:t>
      </w:r>
    </w:p>
    <w:p w14:paraId="0BD7FEC4" w14:textId="77777777" w:rsidR="00BB056F" w:rsidRDefault="00BB056F" w:rsidP="00D6325C">
      <w:r w:rsidRPr="00BB056F">
        <w:rPr>
          <w:b/>
        </w:rPr>
        <w:t>SECTION 504</w:t>
      </w:r>
      <w:r>
        <w:t xml:space="preserve"> - Section 504 for the Rehabilitation Act of 1973</w:t>
      </w:r>
    </w:p>
    <w:p w14:paraId="0BD7FEC5" w14:textId="77777777" w:rsidR="00E633EF" w:rsidRDefault="00E633EF" w:rsidP="00E633EF">
      <w:r w:rsidRPr="00A97908">
        <w:rPr>
          <w:b/>
        </w:rPr>
        <w:t>TCA</w:t>
      </w:r>
      <w:r>
        <w:t xml:space="preserve"> </w:t>
      </w:r>
      <w:r w:rsidR="00DF4ABC">
        <w:t>–</w:t>
      </w:r>
      <w:r>
        <w:t xml:space="preserve"> Traditional Contract Administrators</w:t>
      </w:r>
    </w:p>
    <w:p w14:paraId="0BD7FEC6" w14:textId="77777777" w:rsidR="007C78FA" w:rsidRDefault="007C78FA" w:rsidP="00E633EF">
      <w:r>
        <w:rPr>
          <w:b/>
        </w:rPr>
        <w:t xml:space="preserve">TIN </w:t>
      </w:r>
      <w:r>
        <w:t>– Tax Identification Number</w:t>
      </w:r>
    </w:p>
    <w:p w14:paraId="0BD7FEC7" w14:textId="77777777" w:rsidR="006C4524" w:rsidRDefault="006C4524" w:rsidP="00D6325C">
      <w:r w:rsidRPr="00D6325C">
        <w:rPr>
          <w:b/>
        </w:rPr>
        <w:t>TPA</w:t>
      </w:r>
      <w:r>
        <w:t xml:space="preserve"> </w:t>
      </w:r>
      <w:r w:rsidR="00DF4ABC">
        <w:t>–</w:t>
      </w:r>
      <w:r>
        <w:t xml:space="preserve"> Transfer of physical assets</w:t>
      </w:r>
    </w:p>
    <w:p w14:paraId="0BD7FEC8" w14:textId="77777777" w:rsidR="00B57CCF" w:rsidRDefault="00B57CCF" w:rsidP="00D6325C">
      <w:pPr>
        <w:rPr>
          <w:rFonts w:ascii="Arial Bold" w:eastAsiaTheme="majorEastAsia" w:hAnsi="Arial Bold" w:cs="Arial"/>
          <w:b/>
          <w:bCs/>
          <w:caps/>
          <w:sz w:val="32"/>
          <w:szCs w:val="26"/>
        </w:rPr>
      </w:pPr>
    </w:p>
    <w:p w14:paraId="0BD7FEC9" w14:textId="77777777" w:rsidR="00E633EF" w:rsidRDefault="00E633EF">
      <w:pPr>
        <w:spacing w:before="0" w:line="276" w:lineRule="auto"/>
        <w:ind w:left="0"/>
        <w:rPr>
          <w:rFonts w:ascii="Arial Bold" w:eastAsiaTheme="majorEastAsia" w:hAnsi="Arial Bold" w:cstheme="majorBidi"/>
          <w:szCs w:val="28"/>
          <w14:scene3d>
            <w14:camera w14:prst="orthographicFront"/>
            <w14:lightRig w14:rig="threePt" w14:dir="t">
              <w14:rot w14:lat="0" w14:lon="0" w14:rev="0"/>
            </w14:lightRig>
          </w14:scene3d>
        </w:rPr>
      </w:pPr>
      <w:bookmarkStart w:id="45" w:name="_Toc407711151"/>
      <w:bookmarkStart w:id="46" w:name="_Toc407711454"/>
      <w:bookmarkStart w:id="47" w:name="_Toc407716136"/>
      <w:bookmarkStart w:id="48" w:name="_Toc407716167"/>
      <w:bookmarkEnd w:id="45"/>
      <w:bookmarkEnd w:id="46"/>
      <w:bookmarkEnd w:id="47"/>
      <w:bookmarkEnd w:id="48"/>
      <w:r>
        <w:br w:type="page"/>
      </w:r>
    </w:p>
    <w:p w14:paraId="0BD7FECA" w14:textId="77777777" w:rsidR="0065062D" w:rsidRDefault="00D36687" w:rsidP="00E13847">
      <w:pPr>
        <w:pStyle w:val="Heading1"/>
        <w:numPr>
          <w:ilvl w:val="0"/>
          <w:numId w:val="0"/>
        </w:numPr>
        <w:ind w:left="360" w:hanging="360"/>
      </w:pPr>
      <w:bookmarkStart w:id="49" w:name="_Toc410134291"/>
      <w:bookmarkStart w:id="50" w:name="_Toc424659476"/>
      <w:r>
        <w:t xml:space="preserve">Exhibit 5-3 </w:t>
      </w:r>
      <w:r w:rsidR="00D4448A">
        <w:t>Glossary</w:t>
      </w:r>
      <w:bookmarkEnd w:id="49"/>
      <w:bookmarkEnd w:id="50"/>
    </w:p>
    <w:p w14:paraId="0BD7FECB" w14:textId="77777777" w:rsidR="005763EA" w:rsidRDefault="005763EA" w:rsidP="00D6325C">
      <w:pPr>
        <w:spacing w:before="240" w:after="240"/>
      </w:pPr>
      <w:r w:rsidRPr="008F18BB">
        <w:rPr>
          <w:b/>
        </w:rPr>
        <w:t>Administrative Record</w:t>
      </w:r>
      <w:r>
        <w:t xml:space="preserve"> – HUD’s history of interaction with an owner, agent or representative of a project. The Administrative Record includes all signed business agreements, written communication (paper and electronic), oral communication (telephonic and in person), including notes of such communications, all notes to the “file,” all data entries in</w:t>
      </w:r>
      <w:r w:rsidR="00371BA5">
        <w:t xml:space="preserve"> the Integrated Real Estate Management System</w:t>
      </w:r>
      <w:r>
        <w:t xml:space="preserve"> </w:t>
      </w:r>
      <w:r w:rsidR="00371BA5">
        <w:t>(</w:t>
      </w:r>
      <w:r>
        <w:t>iREMS</w:t>
      </w:r>
      <w:r w:rsidR="00371BA5">
        <w:t>)</w:t>
      </w:r>
      <w:r>
        <w:t xml:space="preserve"> (see definition below) and SharePoint relating to the project, all REAC (see definition below) physical inspection reports and all </w:t>
      </w:r>
      <w:r w:rsidR="00371BA5">
        <w:t>financial assessment subsystems (</w:t>
      </w:r>
      <w:r>
        <w:t>FASS</w:t>
      </w:r>
      <w:r w:rsidR="00371BA5">
        <w:t>)</w:t>
      </w:r>
      <w:r>
        <w:t xml:space="preserve"> financial statements (see definition below). The following D</w:t>
      </w:r>
      <w:r w:rsidR="00371BA5">
        <w:t xml:space="preserve">epartmental </w:t>
      </w:r>
      <w:r>
        <w:t>E</w:t>
      </w:r>
      <w:r w:rsidR="00371BA5">
        <w:t xml:space="preserve">nforcement </w:t>
      </w:r>
      <w:r>
        <w:t>C</w:t>
      </w:r>
      <w:r w:rsidR="00371BA5">
        <w:t>enter (DEC)</w:t>
      </w:r>
      <w:r>
        <w:t xml:space="preserve"> documents are also part of the Administrative Record: Warning letters, notices, pre-penalty notices, settlement agreements, data entries in iREMS, emails to Account Executives, memoranda to the file, and close out letters to the owner. It is important that the Administrative Record be current and accurate. HUD’s attorneys will use the Administrative Record to support HUD’s enforcement actions. The owners may be able to “discover” the Administrative Record in court or administrative proceedings. Therefore, all entries made in the Administrative Record should reflect the highest degree of professionalism.</w:t>
      </w:r>
    </w:p>
    <w:p w14:paraId="0BD7FECC" w14:textId="77777777" w:rsidR="005763EA" w:rsidRDefault="005763EA" w:rsidP="00D6325C">
      <w:pPr>
        <w:spacing w:before="0" w:after="240"/>
      </w:pPr>
      <w:r w:rsidRPr="008F18BB">
        <w:rPr>
          <w:b/>
        </w:rPr>
        <w:t>Annual Financial Statements (AFS)</w:t>
      </w:r>
      <w:r w:rsidRPr="008F18BB">
        <w:t xml:space="preserve"> </w:t>
      </w:r>
      <w:r>
        <w:t>–</w:t>
      </w:r>
      <w:r w:rsidRPr="00016345">
        <w:t xml:space="preserve"> the accounting reports for a multifamily housing </w:t>
      </w:r>
      <w:r>
        <w:t xml:space="preserve">project </w:t>
      </w:r>
      <w:r w:rsidRPr="00016345">
        <w:t>owner covering a fiscal year period</w:t>
      </w:r>
      <w:r>
        <w:t xml:space="preserve"> or the “stub” period for those reports covering less than a year’s duration</w:t>
      </w:r>
      <w:r w:rsidRPr="00016345">
        <w:t>.</w:t>
      </w:r>
      <w:r>
        <w:t xml:space="preserve"> </w:t>
      </w:r>
      <w:r w:rsidRPr="00016345">
        <w:t xml:space="preserve">The owner is </w:t>
      </w:r>
      <w:r w:rsidR="00371BA5">
        <w:t>responsible for submitting the annual financial statement (AFS)</w:t>
      </w:r>
      <w:r>
        <w:t xml:space="preserve"> electronically</w:t>
      </w:r>
      <w:r w:rsidRPr="00016345">
        <w:t xml:space="preserve"> in FASS according to HUD requirements</w:t>
      </w:r>
      <w:r w:rsidR="009017F8">
        <w:t>.</w:t>
      </w:r>
      <w:r>
        <w:t xml:space="preserve"> </w:t>
      </w:r>
      <w:r w:rsidR="009017F8">
        <w:t>S</w:t>
      </w:r>
      <w:r>
        <w:t>ee REAC’s website for greater details</w:t>
      </w:r>
      <w:r w:rsidRPr="00016345">
        <w:t>.</w:t>
      </w:r>
      <w:r>
        <w:t xml:space="preserve"> </w:t>
      </w:r>
      <w:r w:rsidRPr="00016345">
        <w:t>The Office of Inspector General (OIG) Handbook 2004.</w:t>
      </w:r>
      <w:r w:rsidR="009017F8" w:rsidRPr="00016345" w:rsidDel="009017F8">
        <w:t xml:space="preserve"> </w:t>
      </w:r>
      <w:r w:rsidRPr="00016345">
        <w:t xml:space="preserve">4 </w:t>
      </w:r>
      <w:hyperlink r:id="rId13" w:history="1">
        <w:r w:rsidR="009017F8" w:rsidRPr="00771627">
          <w:rPr>
            <w:i/>
          </w:rPr>
          <w:t>Consolidated Audit Guide for Audits of HUD Programs</w:t>
        </w:r>
      </w:hyperlink>
      <w:r w:rsidR="009017F8" w:rsidRPr="00016345">
        <w:t xml:space="preserve"> </w:t>
      </w:r>
      <w:r w:rsidRPr="00016345">
        <w:t>sets out the audit requirements for profit motivated entities.</w:t>
      </w:r>
      <w:r>
        <w:t xml:space="preserve"> </w:t>
      </w:r>
      <w:r w:rsidRPr="00016345">
        <w:t>Non-profit owners follow Offic</w:t>
      </w:r>
      <w:r w:rsidR="00371BA5">
        <w:t>e of Management and Budget (OMB</w:t>
      </w:r>
      <w:r w:rsidR="009017F8">
        <w:t>)</w:t>
      </w:r>
      <w:r w:rsidRPr="00016345">
        <w:t xml:space="preserve"> requirements established through Circular A</w:t>
      </w:r>
      <w:r w:rsidR="009017F8">
        <w:t>-</w:t>
      </w:r>
      <w:r w:rsidRPr="00016345">
        <w:t>133.</w:t>
      </w:r>
      <w:r>
        <w:t xml:space="preserve"> </w:t>
      </w:r>
    </w:p>
    <w:p w14:paraId="0BD7FECD" w14:textId="77777777" w:rsidR="005763EA" w:rsidRDefault="005763EA" w:rsidP="00D6325C">
      <w:pPr>
        <w:spacing w:before="0" w:after="240"/>
      </w:pPr>
      <w:r w:rsidRPr="00016345">
        <w:t xml:space="preserve">The AFS is due </w:t>
      </w:r>
      <w:r>
        <w:t xml:space="preserve">no later than </w:t>
      </w:r>
      <w:r w:rsidRPr="00016345">
        <w:t xml:space="preserve">90 days </w:t>
      </w:r>
      <w:r>
        <w:t xml:space="preserve">after </w:t>
      </w:r>
      <w:r w:rsidRPr="00016345">
        <w:t>the end of the fiscal year period or as otherwise provided by law.</w:t>
      </w:r>
      <w:r>
        <w:t xml:space="preserve"> </w:t>
      </w:r>
      <w:r w:rsidRPr="00016345">
        <w:t>This requirement is found in HUD’s regulation at 24 CFR § 5.801(c)(3).</w:t>
      </w:r>
      <w:r>
        <w:t xml:space="preserve"> HUD uses the </w:t>
      </w:r>
      <w:r w:rsidR="007E7797">
        <w:t>90-day</w:t>
      </w:r>
      <w:r>
        <w:t xml:space="preserve"> period even though many</w:t>
      </w:r>
      <w:r w:rsidRPr="00016345">
        <w:t xml:space="preserve"> Regulatory Agreement</w:t>
      </w:r>
      <w:r>
        <w:t>s</w:t>
      </w:r>
      <w:r w:rsidRPr="00016345">
        <w:t xml:space="preserve"> </w:t>
      </w:r>
      <w:r>
        <w:t xml:space="preserve">and </w:t>
      </w:r>
      <w:r w:rsidRPr="00016345">
        <w:t>Housing Assistance Payments Contract</w:t>
      </w:r>
      <w:r>
        <w:t>s</w:t>
      </w:r>
      <w:r w:rsidRPr="00016345">
        <w:t xml:space="preserve"> </w:t>
      </w:r>
      <w:r>
        <w:t>have</w:t>
      </w:r>
      <w:r w:rsidRPr="00016345">
        <w:t xml:space="preserve"> a shorter due date.</w:t>
      </w:r>
      <w:r>
        <w:t xml:space="preserve"> HUD requires non-profit owners receiving </w:t>
      </w:r>
      <w:r w:rsidR="009017F8">
        <w:t xml:space="preserve">subsidy of </w:t>
      </w:r>
      <w:r>
        <w:t>$500,000 or more annually in combined federal assistance to submit electronic owner certified (un-audited) AFS within 90 days after the end of the</w:t>
      </w:r>
      <w:r w:rsidR="009017F8">
        <w:t>ir</w:t>
      </w:r>
      <w:r>
        <w:t xml:space="preserve"> fiscal year period. Pursuant to OMB Circular A</w:t>
      </w:r>
      <w:r w:rsidR="009017F8">
        <w:t>-</w:t>
      </w:r>
      <w:r>
        <w:t>133, those same owners must submit their audited AFS no later than nine months after the end of the fiscal year.</w:t>
      </w:r>
    </w:p>
    <w:p w14:paraId="0BD7FECE" w14:textId="77777777" w:rsidR="005763EA" w:rsidRPr="008F18BB" w:rsidRDefault="005763EA" w:rsidP="00D6325C">
      <w:pPr>
        <w:spacing w:before="0" w:after="240"/>
      </w:pPr>
      <w:r w:rsidRPr="00D6325C">
        <w:rPr>
          <w:b/>
        </w:rPr>
        <w:t>Active Participation Performance System (APPS) Flag</w:t>
      </w:r>
      <w:r w:rsidRPr="008F18BB">
        <w:t xml:space="preserve"> </w:t>
      </w:r>
      <w:r>
        <w:t xml:space="preserve">– an indicator of a performance problem with an individual or entity. Some DEC referrals, such as non-filer and physical referrals will trigger system-generated flags on the owner in APPS. Upon closing a </w:t>
      </w:r>
      <w:r w:rsidR="00E2183E">
        <w:t>referral,</w:t>
      </w:r>
      <w:r>
        <w:t xml:space="preserve"> the DEC will often advise the Account Executive whether the APPS flag should be cleared or retained. The DEC staff lack authority to make changes in the APPS so the Account Executives must do so.</w:t>
      </w:r>
    </w:p>
    <w:p w14:paraId="0BD7FECF" w14:textId="77777777" w:rsidR="005763EA" w:rsidRDefault="005763EA" w:rsidP="00D6325C">
      <w:pPr>
        <w:spacing w:before="0" w:after="240"/>
      </w:pPr>
      <w:r w:rsidRPr="00705644">
        <w:rPr>
          <w:b/>
        </w:rPr>
        <w:t xml:space="preserve">Automatic DEC Referrals </w:t>
      </w:r>
      <w:r>
        <w:t xml:space="preserve">– </w:t>
      </w:r>
      <w:r w:rsidRPr="00705644">
        <w:t>those referrals that meet certain agreed</w:t>
      </w:r>
      <w:r>
        <w:t>-</w:t>
      </w:r>
      <w:r w:rsidRPr="00705644">
        <w:t>upon thresho</w:t>
      </w:r>
      <w:r w:rsidR="00371BA5">
        <w:t xml:space="preserve">lds as noted in the Protocol. The Real Estate </w:t>
      </w:r>
      <w:r w:rsidRPr="00705644">
        <w:t>A</w:t>
      </w:r>
      <w:r w:rsidR="00371BA5">
        <w:t xml:space="preserve">ssessment </w:t>
      </w:r>
      <w:r w:rsidRPr="00705644">
        <w:t>C</w:t>
      </w:r>
      <w:r w:rsidR="00371BA5">
        <w:t>enter (REAC)</w:t>
      </w:r>
      <w:r w:rsidRPr="00705644">
        <w:t xml:space="preserve"> makes the automatic referrals in iREMS via the P</w:t>
      </w:r>
      <w:r w:rsidR="00371BA5">
        <w:t xml:space="preserve">hysical </w:t>
      </w:r>
      <w:r w:rsidRPr="00705644">
        <w:t>A</w:t>
      </w:r>
      <w:r w:rsidR="00371BA5">
        <w:t xml:space="preserve">ssessment </w:t>
      </w:r>
      <w:r w:rsidRPr="00705644">
        <w:t>S</w:t>
      </w:r>
      <w:r w:rsidR="00371BA5">
        <w:t>ubsystem (PASS)</w:t>
      </w:r>
      <w:r w:rsidRPr="00705644">
        <w:t xml:space="preserve"> or FASS.</w:t>
      </w:r>
      <w:r>
        <w:t xml:space="preserve"> </w:t>
      </w:r>
    </w:p>
    <w:p w14:paraId="0BD7FED0" w14:textId="77777777" w:rsidR="005763EA" w:rsidRDefault="005763EA" w:rsidP="00D6325C">
      <w:pPr>
        <w:spacing w:before="0" w:after="240"/>
      </w:pPr>
      <w:r w:rsidRPr="00B7321F">
        <w:rPr>
          <w:b/>
        </w:rPr>
        <w:t>Civil Money Pena</w:t>
      </w:r>
      <w:r w:rsidR="00371BA5">
        <w:rPr>
          <w:b/>
        </w:rPr>
        <w:t>lties</w:t>
      </w:r>
      <w:r w:rsidRPr="00B7321F">
        <w:t xml:space="preserve"> </w:t>
      </w:r>
      <w:r>
        <w:t xml:space="preserve">– </w:t>
      </w:r>
      <w:r w:rsidRPr="00B7321F">
        <w:t xml:space="preserve">fines that are assessed against program participants for specific </w:t>
      </w:r>
      <w:r>
        <w:t>knowing and material actions in violation of the statute, regulation or business agreements</w:t>
      </w:r>
      <w:r w:rsidRPr="00B7321F">
        <w:t>.</w:t>
      </w:r>
      <w:r>
        <w:t xml:space="preserve"> HUD can only impose a </w:t>
      </w:r>
      <w:r w:rsidR="00371BA5">
        <w:t>civil money penalty</w:t>
      </w:r>
      <w:r>
        <w:t xml:space="preserve"> if it has statutory authority to do so. HUD must consider specific statutory factors in determining the amount of the </w:t>
      </w:r>
      <w:r w:rsidR="00371BA5">
        <w:t>civil money penalty</w:t>
      </w:r>
      <w:r>
        <w:t xml:space="preserve"> to be imposed. Owners cannot use project funds to pay for </w:t>
      </w:r>
      <w:r w:rsidR="00371BA5">
        <w:t>civil money penalties</w:t>
      </w:r>
      <w:r>
        <w:t>.</w:t>
      </w:r>
    </w:p>
    <w:p w14:paraId="0BD7FED1" w14:textId="77777777" w:rsidR="005763EA" w:rsidRPr="00B7321F" w:rsidRDefault="005763EA" w:rsidP="00D6325C">
      <w:pPr>
        <w:spacing w:before="0" w:after="240"/>
      </w:pPr>
      <w:r w:rsidRPr="000A1F61">
        <w:rPr>
          <w:b/>
        </w:rPr>
        <w:t>Departmental Enforcement Center</w:t>
      </w:r>
      <w:r>
        <w:rPr>
          <w:b/>
        </w:rPr>
        <w:t xml:space="preserve"> (DEC)</w:t>
      </w:r>
      <w:r w:rsidRPr="00B7321F">
        <w:t xml:space="preserve"> </w:t>
      </w:r>
      <w:r>
        <w:t>–</w:t>
      </w:r>
      <w:r w:rsidRPr="00B7321F">
        <w:t xml:space="preserve"> a programmatic </w:t>
      </w:r>
      <w:r>
        <w:t xml:space="preserve">service </w:t>
      </w:r>
      <w:r w:rsidRPr="00B7321F">
        <w:t>organization that has direct authority to impose civil money penalties</w:t>
      </w:r>
      <w:r>
        <w:t xml:space="preserve"> against </w:t>
      </w:r>
      <w:r w:rsidR="00371BA5">
        <w:t>m</w:t>
      </w:r>
      <w:r>
        <w:t xml:space="preserve">ultifamily owners. The DEC also has authority to </w:t>
      </w:r>
      <w:r w:rsidRPr="00B7321F">
        <w:t xml:space="preserve">issue </w:t>
      </w:r>
      <w:r>
        <w:t xml:space="preserve">notices </w:t>
      </w:r>
      <w:r w:rsidRPr="00B7321F">
        <w:t xml:space="preserve">to </w:t>
      </w:r>
      <w:r w:rsidR="00371BA5">
        <w:t>m</w:t>
      </w:r>
      <w:r w:rsidRPr="00B7321F">
        <w:t xml:space="preserve">ultifamily owners </w:t>
      </w:r>
      <w:r>
        <w:t>for</w:t>
      </w:r>
      <w:r w:rsidRPr="00B7321F">
        <w:t xml:space="preserve"> violation </w:t>
      </w:r>
      <w:r>
        <w:t>of Regulatory Agreements, notices of</w:t>
      </w:r>
      <w:r w:rsidRPr="00B7321F">
        <w:t xml:space="preserve"> default </w:t>
      </w:r>
      <w:r>
        <w:t>of housing assistance payments (HAP) contracts, or notices of default of Use Agreements</w:t>
      </w:r>
      <w:r w:rsidRPr="00B7321F">
        <w:t>.</w:t>
      </w:r>
      <w:r>
        <w:t xml:space="preserve"> In many instances t</w:t>
      </w:r>
      <w:r w:rsidRPr="00B7321F">
        <w:t>he DEC negotiate</w:t>
      </w:r>
      <w:r>
        <w:t>s</w:t>
      </w:r>
      <w:r w:rsidRPr="00B7321F">
        <w:t xml:space="preserve"> with owners and enter</w:t>
      </w:r>
      <w:r>
        <w:t>s</w:t>
      </w:r>
      <w:r w:rsidRPr="00B7321F">
        <w:t xml:space="preserve"> into settlement agreements.</w:t>
      </w:r>
      <w:r>
        <w:t xml:space="preserve"> The DEC also negotiates recoveries of funds to projects and to HUD, as warranted by the facts presented.</w:t>
      </w:r>
    </w:p>
    <w:p w14:paraId="0BD7FED2" w14:textId="77777777" w:rsidR="005763EA" w:rsidRPr="009C4E6C" w:rsidRDefault="005763EA" w:rsidP="00D6325C">
      <w:pPr>
        <w:spacing w:before="0" w:after="240"/>
        <w:rPr>
          <w:b/>
        </w:rPr>
      </w:pPr>
      <w:r w:rsidRPr="00316C1F">
        <w:rPr>
          <w:b/>
        </w:rPr>
        <w:t xml:space="preserve">Integrated Real Estate Management System </w:t>
      </w:r>
      <w:r>
        <w:rPr>
          <w:b/>
        </w:rPr>
        <w:t>(</w:t>
      </w:r>
      <w:r w:rsidRPr="00316C1F">
        <w:rPr>
          <w:b/>
        </w:rPr>
        <w:t>iREMS</w:t>
      </w:r>
      <w:r>
        <w:rPr>
          <w:b/>
        </w:rPr>
        <w:t>)</w:t>
      </w:r>
      <w:r>
        <w:t xml:space="preserve"> – the database system for </w:t>
      </w:r>
      <w:r w:rsidR="00371BA5">
        <w:t>MFH</w:t>
      </w:r>
      <w:r>
        <w:t xml:space="preserve">. The DEC receives automatic referrals in iREMS. Account Executives or other </w:t>
      </w:r>
      <w:r w:rsidR="00371BA5">
        <w:t>MFH</w:t>
      </w:r>
      <w:r>
        <w:t xml:space="preserve"> staff can make elective referrals to the DEC in iREMS, as more fully explained below.</w:t>
      </w:r>
    </w:p>
    <w:p w14:paraId="0BD7FED3" w14:textId="77777777" w:rsidR="005763EA" w:rsidRPr="00D21F56" w:rsidRDefault="005763EA" w:rsidP="00D6325C">
      <w:pPr>
        <w:spacing w:before="0" w:after="240"/>
      </w:pPr>
      <w:r>
        <w:rPr>
          <w:b/>
        </w:rPr>
        <w:t>P</w:t>
      </w:r>
      <w:r w:rsidRPr="00D21F56">
        <w:rPr>
          <w:b/>
        </w:rPr>
        <w:t xml:space="preserve">rotocol </w:t>
      </w:r>
      <w:r>
        <w:t xml:space="preserve">– </w:t>
      </w:r>
      <w:r w:rsidRPr="009C4E6C">
        <w:t xml:space="preserve">an agreement among the DEC, </w:t>
      </w:r>
      <w:r w:rsidR="00371BA5">
        <w:t>MFH and REAC</w:t>
      </w:r>
      <w:r w:rsidRPr="009C4E6C">
        <w:t>.</w:t>
      </w:r>
      <w:r>
        <w:t xml:space="preserve"> </w:t>
      </w:r>
      <w:r w:rsidRPr="009C4E6C">
        <w:t xml:space="preserve">The Protocol addresses the roles and responsibilities of DEC and </w:t>
      </w:r>
      <w:r w:rsidR="00371BA5">
        <w:t>MFH</w:t>
      </w:r>
      <w:r w:rsidRPr="009C4E6C">
        <w:t xml:space="preserve"> staff when </w:t>
      </w:r>
      <w:r>
        <w:t>the DEC receives a project for review, analysis and possible enforcement action.</w:t>
      </w:r>
    </w:p>
    <w:p w14:paraId="0BD7FED4" w14:textId="77777777" w:rsidR="005763EA" w:rsidRDefault="005763EA" w:rsidP="00D6325C">
      <w:pPr>
        <w:spacing w:before="0" w:after="240"/>
      </w:pPr>
      <w:r>
        <w:rPr>
          <w:b/>
        </w:rPr>
        <w:t xml:space="preserve">The </w:t>
      </w:r>
      <w:r w:rsidRPr="000A1F61">
        <w:rPr>
          <w:b/>
        </w:rPr>
        <w:t>Real Estate Assessment Center</w:t>
      </w:r>
      <w:r>
        <w:t xml:space="preserve"> (</w:t>
      </w:r>
      <w:r w:rsidRPr="000A1F61">
        <w:rPr>
          <w:b/>
        </w:rPr>
        <w:t>REAC</w:t>
      </w:r>
      <w:r>
        <w:rPr>
          <w:b/>
        </w:rPr>
        <w:t>)</w:t>
      </w:r>
      <w:r>
        <w:t xml:space="preserve"> – the organization that provides Multifamily Housing with assessment services relating to its portfolio. REAC oversees the physical</w:t>
      </w:r>
      <w:r w:rsidR="00371BA5">
        <w:t xml:space="preserve"> inspection process through the PASS</w:t>
      </w:r>
      <w:r>
        <w:t xml:space="preserve"> and posts the physical inspection reports in iREMS. REAC also controls the process for owners to file electronic AFS in the </w:t>
      </w:r>
      <w:r w:rsidR="00371BA5">
        <w:t>FASS – FHA</w:t>
      </w:r>
      <w:r>
        <w:t>. REAC will generate automatic referrals of a project to the DEC when an owner has failed to file its required AFS by the 41</w:t>
      </w:r>
      <w:r w:rsidRPr="00C61B90">
        <w:rPr>
          <w:vertAlign w:val="superscript"/>
        </w:rPr>
        <w:t>st</w:t>
      </w:r>
      <w:r>
        <w:t xml:space="preserve"> day from the due date. REAC </w:t>
      </w:r>
      <w:r w:rsidR="00CD2DF6">
        <w:t>A</w:t>
      </w:r>
      <w:r>
        <w:t xml:space="preserve">nalysts assess the statements upon receipt. REAC </w:t>
      </w:r>
      <w:r w:rsidR="00CD2DF6">
        <w:t>A</w:t>
      </w:r>
      <w:r>
        <w:t xml:space="preserve">nalysts will assign the project to </w:t>
      </w:r>
      <w:r w:rsidR="00371BA5">
        <w:t>MFH</w:t>
      </w:r>
      <w:r>
        <w:t xml:space="preserve"> or the DEC depending upon what issues they see as “compliance flags” of potent</w:t>
      </w:r>
      <w:r w:rsidR="00DD770E">
        <w:t>ial non</w:t>
      </w:r>
      <w:r w:rsidR="003D2194">
        <w:t>-</w:t>
      </w:r>
      <w:r>
        <w:t>compliances.</w:t>
      </w:r>
    </w:p>
    <w:p w14:paraId="0BD7FED5" w14:textId="77777777" w:rsidR="005763EA" w:rsidRPr="006B79CF" w:rsidRDefault="005763EA" w:rsidP="00D6325C">
      <w:pPr>
        <w:spacing w:before="0" w:after="240"/>
      </w:pPr>
      <w:r w:rsidRPr="000C0CB6">
        <w:rPr>
          <w:b/>
        </w:rPr>
        <w:t xml:space="preserve">A REAC </w:t>
      </w:r>
      <w:r>
        <w:rPr>
          <w:b/>
        </w:rPr>
        <w:t>Compliance F</w:t>
      </w:r>
      <w:r w:rsidRPr="000C0CB6">
        <w:rPr>
          <w:b/>
        </w:rPr>
        <w:t>lag</w:t>
      </w:r>
      <w:r>
        <w:t xml:space="preserve"> – </w:t>
      </w:r>
      <w:r w:rsidRPr="000C0CB6">
        <w:t xml:space="preserve">an indicator in REAC’s FASS Compliance </w:t>
      </w:r>
      <w:r>
        <w:t>C</w:t>
      </w:r>
      <w:r w:rsidRPr="000C0CB6">
        <w:t xml:space="preserve">hart </w:t>
      </w:r>
      <w:r>
        <w:t xml:space="preserve">that </w:t>
      </w:r>
      <w:r w:rsidRPr="000C0CB6">
        <w:t>reflect</w:t>
      </w:r>
      <w:r>
        <w:t>s</w:t>
      </w:r>
      <w:r w:rsidR="00DD770E">
        <w:t xml:space="preserve"> possible problems of non</w:t>
      </w:r>
      <w:r w:rsidR="003D2194">
        <w:t>-</w:t>
      </w:r>
      <w:r w:rsidRPr="000C0CB6">
        <w:t>compliance</w:t>
      </w:r>
      <w:r>
        <w:t xml:space="preserve"> with a project</w:t>
      </w:r>
      <w:r w:rsidRPr="000C0CB6">
        <w:t>.</w:t>
      </w:r>
      <w:r>
        <w:t xml:space="preserve"> The FASS system conducts a compliance check of each AFS. The FASS system generates flags for sp</w:t>
      </w:r>
      <w:r w:rsidR="00DD770E">
        <w:t>ecific non</w:t>
      </w:r>
      <w:r w:rsidR="003D2194">
        <w:t>-</w:t>
      </w:r>
      <w:r>
        <w:t xml:space="preserve">compliances, such as “Unauthorized Distribution of Project Funds” or “Failure to make </w:t>
      </w:r>
      <w:r w:rsidR="009A2DDF">
        <w:t>deposits to the RfR</w:t>
      </w:r>
      <w:r w:rsidR="00DD770E">
        <w:t>.</w:t>
      </w:r>
      <w:r>
        <w:t xml:space="preserve">” The FASS system also lists what the auditor saw as problems. The REAC </w:t>
      </w:r>
      <w:r w:rsidR="00CD2DF6">
        <w:t>A</w:t>
      </w:r>
      <w:r>
        <w:t>nalysts will assess the AFS and based on the existing Protocol they w</w:t>
      </w:r>
      <w:r w:rsidRPr="006B79CF">
        <w:t xml:space="preserve">ill determine whether </w:t>
      </w:r>
      <w:r>
        <w:t>they agree with the</w:t>
      </w:r>
      <w:r w:rsidRPr="006B79CF">
        <w:t xml:space="preserve"> </w:t>
      </w:r>
      <w:r>
        <w:t>initial automated recommendations</w:t>
      </w:r>
      <w:r w:rsidRPr="006B79CF">
        <w:t xml:space="preserve">, </w:t>
      </w:r>
      <w:r>
        <w:t xml:space="preserve">refer the matter </w:t>
      </w:r>
      <w:r w:rsidRPr="006B79CF">
        <w:t>to the DEC</w:t>
      </w:r>
      <w:r>
        <w:t xml:space="preserve"> or </w:t>
      </w:r>
      <w:r w:rsidR="00371BA5">
        <w:t>MFH</w:t>
      </w:r>
      <w:r w:rsidRPr="006B79CF">
        <w:t xml:space="preserve">, or </w:t>
      </w:r>
      <w:r>
        <w:t>decide that no action is necessary. In REAC’s FASS system, these decisions are described as “accepting” the flags, “upgrading” the flag to the DEC, or “downgrading” the flags, either to Multifamily Housing or to a non-referral status.</w:t>
      </w:r>
    </w:p>
    <w:p w14:paraId="0BD7FED6" w14:textId="77777777" w:rsidR="005763EA" w:rsidRDefault="005763EA" w:rsidP="0039264C">
      <w:pPr>
        <w:spacing w:before="0" w:after="240"/>
      </w:pPr>
      <w:r w:rsidRPr="0033434E">
        <w:rPr>
          <w:b/>
        </w:rPr>
        <w:t xml:space="preserve">Elective DEC Referrals </w:t>
      </w:r>
      <w:r>
        <w:t>–</w:t>
      </w:r>
      <w:r w:rsidR="00317BA9">
        <w:t xml:space="preserve"> </w:t>
      </w:r>
      <w:r w:rsidRPr="0033434E">
        <w:t xml:space="preserve">those </w:t>
      </w:r>
      <w:r w:rsidR="008C3193">
        <w:t>issues</w:t>
      </w:r>
      <w:r w:rsidR="008C3193" w:rsidRPr="0033434E">
        <w:t xml:space="preserve"> </w:t>
      </w:r>
      <w:r w:rsidR="00771627">
        <w:t>upon which</w:t>
      </w:r>
      <w:r w:rsidRPr="0033434E">
        <w:t xml:space="preserve"> </w:t>
      </w:r>
      <w:r w:rsidR="00371BA5">
        <w:t xml:space="preserve">MFH </w:t>
      </w:r>
      <w:r>
        <w:t>opts</w:t>
      </w:r>
      <w:r w:rsidRPr="0033434E">
        <w:t xml:space="preserve"> to seek DEC assistance to obtain owner compliance with HUD’s requirements</w:t>
      </w:r>
      <w:r w:rsidR="0015113D">
        <w:t>,</w:t>
      </w:r>
      <w:r w:rsidRPr="0033434E">
        <w:t xml:space="preserve"> or to protect </w:t>
      </w:r>
      <w:r w:rsidR="00371BA5">
        <w:t xml:space="preserve">HUD </w:t>
      </w:r>
      <w:r w:rsidRPr="0033434E">
        <w:t>from irresponsible persons.</w:t>
      </w:r>
      <w:r>
        <w:t xml:space="preserve"> </w:t>
      </w:r>
    </w:p>
    <w:p w14:paraId="0BD7FED7" w14:textId="77777777" w:rsidR="007E4FA5" w:rsidRDefault="007E4FA5">
      <w:pPr>
        <w:spacing w:before="0" w:line="276" w:lineRule="auto"/>
        <w:ind w:left="0"/>
        <w:rPr>
          <w:rFonts w:eastAsiaTheme="majorEastAsia" w:cstheme="majorBidi"/>
        </w:rPr>
      </w:pPr>
      <w:r>
        <w:br w:type="page"/>
      </w:r>
    </w:p>
    <w:p w14:paraId="0BD7FED8" w14:textId="77777777" w:rsidR="007E4FA5" w:rsidRPr="00771627" w:rsidRDefault="00C5635F" w:rsidP="00771627">
      <w:pPr>
        <w:pStyle w:val="Heading5"/>
        <w:numPr>
          <w:ilvl w:val="0"/>
          <w:numId w:val="0"/>
        </w:numPr>
        <w:ind w:left="1080"/>
        <w:jc w:val="center"/>
        <w:rPr>
          <w:b/>
        </w:rPr>
      </w:pPr>
      <w:r w:rsidRPr="00771627">
        <w:rPr>
          <w:b/>
        </w:rPr>
        <w:t xml:space="preserve">Exhibit </w:t>
      </w:r>
      <w:r w:rsidR="00D36687">
        <w:rPr>
          <w:b/>
        </w:rPr>
        <w:t>5</w:t>
      </w:r>
      <w:r w:rsidRPr="00771627">
        <w:rPr>
          <w:b/>
        </w:rPr>
        <w:t xml:space="preserve">-4 </w:t>
      </w:r>
      <w:r w:rsidR="007E4FA5" w:rsidRPr="00771627">
        <w:rPr>
          <w:b/>
        </w:rPr>
        <w:t>Suspension and Debarment Comparison</w:t>
      </w:r>
    </w:p>
    <w:p w14:paraId="0BD7FED9" w14:textId="77777777" w:rsidR="007E4FA5" w:rsidRPr="00BE3A63" w:rsidRDefault="007E4FA5" w:rsidP="007E4FA5">
      <w:pPr>
        <w:pStyle w:val="level5text"/>
      </w:pPr>
      <w:r>
        <w:t>T</w:t>
      </w:r>
      <w:r w:rsidRPr="00BE3A63">
        <w:t>he table below summarizes the significant differences between suspensions and debarments.</w:t>
      </w:r>
    </w:p>
    <w:p w14:paraId="0BD7FEDA" w14:textId="77777777" w:rsidR="007E4FA5" w:rsidRPr="00541547" w:rsidRDefault="007E4FA5" w:rsidP="007E4FA5">
      <w:pPr>
        <w:pStyle w:val="PlainText"/>
        <w:spacing w:after="120"/>
        <w:jc w:val="center"/>
        <w:rPr>
          <w:rFonts w:ascii="Times New Roman" w:eastAsia="MS Mincho" w:hAnsi="Times New Roman"/>
          <w:b/>
          <w:sz w:val="24"/>
          <w:szCs w:val="24"/>
        </w:rPr>
      </w:pPr>
    </w:p>
    <w:tbl>
      <w:tblPr>
        <w:tblW w:w="0" w:type="auto"/>
        <w:tblInd w:w="1095" w:type="dxa"/>
        <w:tblBorders>
          <w:top w:val="outset" w:sz="6" w:space="0" w:color="auto"/>
          <w:left w:val="outset" w:sz="6" w:space="0" w:color="auto"/>
          <w:bottom w:val="outset" w:sz="6" w:space="0" w:color="auto"/>
          <w:right w:val="outset" w:sz="6" w:space="0" w:color="auto"/>
        </w:tblBorders>
        <w:tblLayout w:type="fixed"/>
        <w:tblCellMar>
          <w:top w:w="43" w:type="dxa"/>
          <w:left w:w="15" w:type="dxa"/>
          <w:bottom w:w="43" w:type="dxa"/>
          <w:right w:w="15" w:type="dxa"/>
        </w:tblCellMar>
        <w:tblLook w:val="04A0" w:firstRow="1" w:lastRow="0" w:firstColumn="1" w:lastColumn="0" w:noHBand="0" w:noVBand="1"/>
      </w:tblPr>
      <w:tblGrid>
        <w:gridCol w:w="3780"/>
        <w:gridCol w:w="4500"/>
      </w:tblGrid>
      <w:tr w:rsidR="007E4FA5" w:rsidRPr="00541547" w14:paraId="0BD7FEDD" w14:textId="77777777" w:rsidTr="000C16CE">
        <w:tc>
          <w:tcPr>
            <w:tcW w:w="3780" w:type="dxa"/>
            <w:tcBorders>
              <w:top w:val="single" w:sz="6" w:space="0" w:color="000000"/>
              <w:left w:val="single" w:sz="6" w:space="0" w:color="000000"/>
              <w:bottom w:val="single" w:sz="6" w:space="0" w:color="000000"/>
              <w:right w:val="single" w:sz="6" w:space="0" w:color="000000"/>
            </w:tcBorders>
            <w:vAlign w:val="bottom"/>
            <w:hideMark/>
          </w:tcPr>
          <w:p w14:paraId="0BD7FEDB" w14:textId="77777777" w:rsidR="007E4FA5" w:rsidRPr="00541547" w:rsidRDefault="007E4FA5" w:rsidP="000C16CE">
            <w:pPr>
              <w:spacing w:before="0" w:after="0"/>
              <w:jc w:val="center"/>
              <w:rPr>
                <w:b/>
                <w:bCs/>
              </w:rPr>
            </w:pPr>
            <w:r w:rsidRPr="00541547">
              <w:rPr>
                <w:b/>
                <w:bCs/>
              </w:rPr>
              <w:t>Suspension</w:t>
            </w:r>
          </w:p>
        </w:tc>
        <w:tc>
          <w:tcPr>
            <w:tcW w:w="4500" w:type="dxa"/>
            <w:tcBorders>
              <w:top w:val="single" w:sz="6" w:space="0" w:color="000000"/>
              <w:left w:val="single" w:sz="6" w:space="0" w:color="000000"/>
              <w:bottom w:val="single" w:sz="6" w:space="0" w:color="000000"/>
              <w:right w:val="single" w:sz="6" w:space="0" w:color="000000"/>
            </w:tcBorders>
            <w:vAlign w:val="bottom"/>
            <w:hideMark/>
          </w:tcPr>
          <w:p w14:paraId="0BD7FEDC" w14:textId="77777777" w:rsidR="007E4FA5" w:rsidRPr="00541547" w:rsidRDefault="007E4FA5" w:rsidP="000C16CE">
            <w:pPr>
              <w:spacing w:before="0" w:after="0"/>
              <w:jc w:val="center"/>
              <w:rPr>
                <w:b/>
                <w:bCs/>
              </w:rPr>
            </w:pPr>
            <w:r w:rsidRPr="00541547">
              <w:rPr>
                <w:b/>
                <w:bCs/>
              </w:rPr>
              <w:t>Debarment</w:t>
            </w:r>
          </w:p>
        </w:tc>
      </w:tr>
      <w:tr w:rsidR="007E4FA5" w:rsidRPr="00541547" w14:paraId="0BD7FEE0" w14:textId="77777777" w:rsidTr="000C16CE">
        <w:tc>
          <w:tcPr>
            <w:tcW w:w="3780" w:type="dxa"/>
            <w:tcBorders>
              <w:top w:val="single" w:sz="6" w:space="0" w:color="000000"/>
              <w:left w:val="single" w:sz="6" w:space="0" w:color="000000"/>
              <w:bottom w:val="single" w:sz="6" w:space="0" w:color="000000"/>
              <w:right w:val="single" w:sz="6" w:space="0" w:color="000000"/>
            </w:tcBorders>
            <w:hideMark/>
          </w:tcPr>
          <w:p w14:paraId="0BD7FEDE" w14:textId="77777777" w:rsidR="007E4FA5" w:rsidRPr="00541547" w:rsidRDefault="007E4FA5" w:rsidP="000C16CE">
            <w:pPr>
              <w:spacing w:before="0" w:after="0"/>
              <w:ind w:left="75"/>
            </w:pPr>
            <w:r w:rsidRPr="00541547">
              <w:t xml:space="preserve">A </w:t>
            </w:r>
            <w:r w:rsidRPr="00061AF0">
              <w:rPr>
                <w:i/>
                <w:u w:val="single"/>
              </w:rPr>
              <w:t>temporary status of ineligibility</w:t>
            </w:r>
            <w:r w:rsidRPr="00541547">
              <w:t xml:space="preserve"> for procurement and no</w:t>
            </w:r>
            <w:r>
              <w:t>n</w:t>
            </w:r>
            <w:r w:rsidRPr="00541547">
              <w:t>-procurement transactions, pending completion of an investigation or legal proceedings.</w:t>
            </w:r>
          </w:p>
        </w:tc>
        <w:tc>
          <w:tcPr>
            <w:tcW w:w="4500" w:type="dxa"/>
            <w:tcBorders>
              <w:top w:val="single" w:sz="6" w:space="0" w:color="000000"/>
              <w:left w:val="single" w:sz="6" w:space="0" w:color="000000"/>
              <w:bottom w:val="single" w:sz="6" w:space="0" w:color="000000"/>
              <w:right w:val="single" w:sz="6" w:space="0" w:color="000000"/>
            </w:tcBorders>
            <w:hideMark/>
          </w:tcPr>
          <w:p w14:paraId="0BD7FEDF" w14:textId="77777777" w:rsidR="007E4FA5" w:rsidRPr="00541547" w:rsidRDefault="007E4FA5" w:rsidP="000C16CE">
            <w:pPr>
              <w:spacing w:before="0" w:after="0"/>
              <w:ind w:left="75"/>
            </w:pPr>
            <w:r w:rsidRPr="00541547">
              <w:t xml:space="preserve">A </w:t>
            </w:r>
            <w:r w:rsidRPr="00061AF0">
              <w:rPr>
                <w:i/>
                <w:u w:val="single"/>
              </w:rPr>
              <w:t>final determination</w:t>
            </w:r>
            <w:r w:rsidRPr="00541547">
              <w:t xml:space="preserve"> that a person is not presently responsible.</w:t>
            </w:r>
          </w:p>
        </w:tc>
      </w:tr>
      <w:tr w:rsidR="007E4FA5" w:rsidRPr="00541547" w14:paraId="0BD7FEE3" w14:textId="77777777" w:rsidTr="000C16CE">
        <w:tc>
          <w:tcPr>
            <w:tcW w:w="3780" w:type="dxa"/>
            <w:tcBorders>
              <w:top w:val="single" w:sz="6" w:space="0" w:color="000000"/>
              <w:left w:val="single" w:sz="6" w:space="0" w:color="000000"/>
              <w:bottom w:val="single" w:sz="6" w:space="0" w:color="000000"/>
              <w:right w:val="single" w:sz="6" w:space="0" w:color="000000"/>
            </w:tcBorders>
            <w:hideMark/>
          </w:tcPr>
          <w:p w14:paraId="0BD7FEE1" w14:textId="77777777" w:rsidR="007E4FA5" w:rsidRPr="00541547" w:rsidRDefault="007E4FA5" w:rsidP="000C16CE">
            <w:pPr>
              <w:spacing w:before="0" w:after="0"/>
              <w:ind w:left="75"/>
            </w:pPr>
            <w:r w:rsidRPr="00541547">
              <w:t xml:space="preserve">Based on </w:t>
            </w:r>
            <w:r w:rsidRPr="00541547">
              <w:rPr>
                <w:rStyle w:val="Emphasis"/>
                <w:u w:val="single"/>
              </w:rPr>
              <w:t>adequate evidence</w:t>
            </w:r>
            <w:r w:rsidRPr="00541547">
              <w:rPr>
                <w:rStyle w:val="Emphasis"/>
              </w:rPr>
              <w:t xml:space="preserve"> </w:t>
            </w:r>
            <w:r w:rsidRPr="00541547">
              <w:t xml:space="preserve">that there may be a cause for debarment of a person and the need for </w:t>
            </w:r>
            <w:r w:rsidRPr="00541547">
              <w:rPr>
                <w:rStyle w:val="Emphasis"/>
              </w:rPr>
              <w:t xml:space="preserve">immediate action </w:t>
            </w:r>
            <w:r w:rsidRPr="00541547">
              <w:t xml:space="preserve">to protect </w:t>
            </w:r>
            <w:r>
              <w:t>f</w:t>
            </w:r>
            <w:r w:rsidRPr="00541547">
              <w:t>ederal interests.</w:t>
            </w:r>
          </w:p>
        </w:tc>
        <w:tc>
          <w:tcPr>
            <w:tcW w:w="4500" w:type="dxa"/>
            <w:tcBorders>
              <w:top w:val="single" w:sz="6" w:space="0" w:color="000000"/>
              <w:left w:val="single" w:sz="6" w:space="0" w:color="000000"/>
              <w:bottom w:val="single" w:sz="6" w:space="0" w:color="000000"/>
              <w:right w:val="single" w:sz="6" w:space="0" w:color="000000"/>
            </w:tcBorders>
            <w:hideMark/>
          </w:tcPr>
          <w:p w14:paraId="0BD7FEE2" w14:textId="77777777" w:rsidR="007E4FA5" w:rsidRPr="00541547" w:rsidRDefault="007E4FA5" w:rsidP="000C16CE">
            <w:pPr>
              <w:spacing w:before="0" w:after="0"/>
              <w:ind w:left="75"/>
            </w:pPr>
            <w:r w:rsidRPr="00541547">
              <w:t xml:space="preserve">Based on a </w:t>
            </w:r>
            <w:r w:rsidRPr="00541547">
              <w:rPr>
                <w:rStyle w:val="Emphasis"/>
                <w:u w:val="single"/>
              </w:rPr>
              <w:t>preponderance of the evidence</w:t>
            </w:r>
            <w:r w:rsidRPr="00541547">
              <w:rPr>
                <w:rStyle w:val="Emphasis"/>
              </w:rPr>
              <w:t xml:space="preserve"> </w:t>
            </w:r>
            <w:r w:rsidRPr="00541547">
              <w:t>that the person has engaged in conduct that warrants debarment.</w:t>
            </w:r>
          </w:p>
        </w:tc>
      </w:tr>
      <w:tr w:rsidR="007E4FA5" w:rsidRPr="00541547" w14:paraId="0BD7FEE6" w14:textId="77777777" w:rsidTr="000C16CE">
        <w:tc>
          <w:tcPr>
            <w:tcW w:w="3780" w:type="dxa"/>
            <w:tcBorders>
              <w:top w:val="single" w:sz="6" w:space="0" w:color="000000"/>
              <w:left w:val="single" w:sz="6" w:space="0" w:color="000000"/>
              <w:bottom w:val="single" w:sz="6" w:space="0" w:color="000000"/>
              <w:right w:val="single" w:sz="6" w:space="0" w:color="000000"/>
            </w:tcBorders>
            <w:hideMark/>
          </w:tcPr>
          <w:p w14:paraId="0BD7FEE4" w14:textId="77777777" w:rsidR="007E4FA5" w:rsidRPr="00541547" w:rsidRDefault="007E4FA5" w:rsidP="000C16CE">
            <w:pPr>
              <w:spacing w:before="0" w:after="0"/>
              <w:ind w:left="75"/>
            </w:pPr>
            <w:r w:rsidRPr="00541547">
              <w:t xml:space="preserve">The suspension is imposed </w:t>
            </w:r>
            <w:r w:rsidRPr="00541547">
              <w:rPr>
                <w:rStyle w:val="Emphasis"/>
                <w:u w:val="single"/>
              </w:rPr>
              <w:t>first</w:t>
            </w:r>
            <w:r w:rsidRPr="00541547">
              <w:rPr>
                <w:rStyle w:val="Emphasis"/>
              </w:rPr>
              <w:t xml:space="preserve">, </w:t>
            </w:r>
            <w:r w:rsidRPr="00541547">
              <w:t>and then notification is provided to the suspended person.</w:t>
            </w:r>
          </w:p>
        </w:tc>
        <w:tc>
          <w:tcPr>
            <w:tcW w:w="4500" w:type="dxa"/>
            <w:tcBorders>
              <w:top w:val="single" w:sz="6" w:space="0" w:color="000000"/>
              <w:left w:val="single" w:sz="6" w:space="0" w:color="000000"/>
              <w:bottom w:val="single" w:sz="6" w:space="0" w:color="000000"/>
              <w:right w:val="single" w:sz="6" w:space="0" w:color="000000"/>
            </w:tcBorders>
            <w:hideMark/>
          </w:tcPr>
          <w:p w14:paraId="0BD7FEE5" w14:textId="77777777" w:rsidR="007E4FA5" w:rsidRPr="00541547" w:rsidRDefault="007E4FA5" w:rsidP="000C16CE">
            <w:pPr>
              <w:spacing w:before="0" w:after="0"/>
              <w:ind w:left="75"/>
            </w:pPr>
            <w:r w:rsidRPr="00541547">
              <w:t xml:space="preserve">Debarment is imposed only </w:t>
            </w:r>
            <w:r w:rsidRPr="00541547">
              <w:rPr>
                <w:rStyle w:val="Emphasis"/>
                <w:u w:val="single"/>
              </w:rPr>
              <w:t>after</w:t>
            </w:r>
            <w:r w:rsidRPr="00541547">
              <w:rPr>
                <w:rStyle w:val="Emphasis"/>
              </w:rPr>
              <w:t xml:space="preserve"> </w:t>
            </w:r>
            <w:r w:rsidRPr="00541547">
              <w:t>giving the respondent notice of the action and an opportunity to contest the proposed debarment.</w:t>
            </w:r>
          </w:p>
        </w:tc>
      </w:tr>
    </w:tbl>
    <w:p w14:paraId="0BD7FEE7" w14:textId="77777777" w:rsidR="007E4FA5" w:rsidRDefault="007E4FA5" w:rsidP="007E4FA5">
      <w:pPr>
        <w:pStyle w:val="level6text"/>
        <w:rPr>
          <w:rFonts w:eastAsia="MS Mincho"/>
        </w:rPr>
      </w:pPr>
    </w:p>
    <w:p w14:paraId="0BD7FEE8" w14:textId="77777777" w:rsidR="007E4FA5" w:rsidRDefault="007E4FA5">
      <w:pPr>
        <w:spacing w:before="0" w:line="276" w:lineRule="auto"/>
        <w:ind w:left="0"/>
      </w:pPr>
      <w:r>
        <w:br w:type="page"/>
      </w:r>
    </w:p>
    <w:p w14:paraId="0BD7FEE9" w14:textId="77777777" w:rsidR="007E4FA5" w:rsidRPr="00771627" w:rsidRDefault="00C5635F" w:rsidP="00771627">
      <w:pPr>
        <w:pStyle w:val="level6text"/>
        <w:jc w:val="center"/>
        <w:rPr>
          <w:b/>
        </w:rPr>
      </w:pPr>
      <w:r w:rsidRPr="00771627">
        <w:rPr>
          <w:b/>
        </w:rPr>
        <w:t xml:space="preserve">Exhibit </w:t>
      </w:r>
      <w:r w:rsidR="00D36687">
        <w:rPr>
          <w:b/>
        </w:rPr>
        <w:t xml:space="preserve"> 5-5</w:t>
      </w:r>
      <w:r w:rsidR="00D36687" w:rsidRPr="00771627">
        <w:rPr>
          <w:b/>
        </w:rPr>
        <w:t xml:space="preserve">  </w:t>
      </w:r>
      <w:r w:rsidRPr="00771627">
        <w:rPr>
          <w:b/>
        </w:rPr>
        <w:t>E</w:t>
      </w:r>
      <w:r w:rsidR="007E4FA5" w:rsidRPr="00771627">
        <w:rPr>
          <w:b/>
        </w:rPr>
        <w:t xml:space="preserve">nforcement </w:t>
      </w:r>
      <w:r w:rsidRPr="00771627">
        <w:rPr>
          <w:b/>
        </w:rPr>
        <w:t>T</w:t>
      </w:r>
      <w:r w:rsidR="007E4FA5" w:rsidRPr="00771627">
        <w:rPr>
          <w:b/>
        </w:rPr>
        <w:t>ools</w:t>
      </w:r>
    </w:p>
    <w:p w14:paraId="0BD7FEEA" w14:textId="77777777" w:rsidR="007E4FA5" w:rsidRDefault="007E4FA5" w:rsidP="00061AF0">
      <w:pPr>
        <w:pStyle w:val="level6text"/>
        <w:jc w:val="center"/>
      </w:pPr>
    </w:p>
    <w:p w14:paraId="0BD7FEEB" w14:textId="77777777" w:rsidR="007E4FA5" w:rsidRDefault="007E4FA5" w:rsidP="007E4FA5">
      <w:pPr>
        <w:pStyle w:val="PlainText"/>
        <w:spacing w:after="120"/>
        <w:jc w:val="center"/>
        <w:rPr>
          <w:rFonts w:ascii="Times New Roman" w:eastAsia="MS Mincho" w:hAnsi="Times New Roman"/>
          <w:b/>
          <w:sz w:val="24"/>
          <w:szCs w:val="24"/>
        </w:rPr>
      </w:pPr>
      <w:r w:rsidRPr="008B7DA4">
        <w:rPr>
          <w:rFonts w:ascii="Times New Roman" w:eastAsia="MS Mincho" w:hAnsi="Times New Roman"/>
          <w:b/>
          <w:sz w:val="24"/>
          <w:szCs w:val="24"/>
        </w:rPr>
        <w:t xml:space="preserve"> </w:t>
      </w:r>
      <w:r w:rsidRPr="00541547">
        <w:rPr>
          <w:rFonts w:ascii="Times New Roman" w:eastAsia="MS Mincho" w:hAnsi="Times New Roman"/>
          <w:b/>
          <w:sz w:val="24"/>
          <w:szCs w:val="24"/>
        </w:rPr>
        <w:t>Example Issues and Typical Enforcement Actions</w:t>
      </w:r>
    </w:p>
    <w:p w14:paraId="0BD7FEEC" w14:textId="77777777" w:rsidR="00C5635F" w:rsidRDefault="00C5635F" w:rsidP="007E4FA5">
      <w:pPr>
        <w:pStyle w:val="PlainText"/>
        <w:spacing w:after="120"/>
        <w:jc w:val="center"/>
        <w:rPr>
          <w:rFonts w:ascii="Times New Roman" w:eastAsia="MS Mincho" w:hAnsi="Times New Roman"/>
          <w:b/>
          <w:sz w:val="24"/>
          <w:szCs w:val="24"/>
        </w:rPr>
      </w:pPr>
    </w:p>
    <w:tbl>
      <w:tblPr>
        <w:tblStyle w:val="TableGrid"/>
        <w:tblW w:w="0" w:type="auto"/>
        <w:tblInd w:w="360" w:type="dxa"/>
        <w:tblCellMar>
          <w:top w:w="43" w:type="dxa"/>
          <w:left w:w="115" w:type="dxa"/>
          <w:bottom w:w="43" w:type="dxa"/>
          <w:right w:w="115" w:type="dxa"/>
        </w:tblCellMar>
        <w:tblLook w:val="04A0" w:firstRow="1" w:lastRow="0" w:firstColumn="1" w:lastColumn="0" w:noHBand="0" w:noVBand="1"/>
      </w:tblPr>
      <w:tblGrid>
        <w:gridCol w:w="3106"/>
        <w:gridCol w:w="2966"/>
        <w:gridCol w:w="2918"/>
      </w:tblGrid>
      <w:tr w:rsidR="007E4FA5" w:rsidRPr="005F520E" w14:paraId="0BD7FEF0" w14:textId="77777777" w:rsidTr="000C16CE">
        <w:trPr>
          <w:cantSplit/>
          <w:tblHeader/>
        </w:trPr>
        <w:tc>
          <w:tcPr>
            <w:tcW w:w="3147" w:type="dxa"/>
          </w:tcPr>
          <w:p w14:paraId="0BD7FEED" w14:textId="77777777" w:rsidR="007E4FA5" w:rsidRPr="005F520E" w:rsidRDefault="007E4FA5" w:rsidP="000C16CE">
            <w:pPr>
              <w:spacing w:before="0"/>
              <w:ind w:left="0"/>
              <w:jc w:val="center"/>
              <w:rPr>
                <w:b/>
              </w:rPr>
            </w:pPr>
            <w:r w:rsidRPr="005F520E">
              <w:rPr>
                <w:b/>
              </w:rPr>
              <w:t>Non</w:t>
            </w:r>
            <w:r>
              <w:rPr>
                <w:b/>
              </w:rPr>
              <w:t>-</w:t>
            </w:r>
            <w:r w:rsidRPr="005F520E">
              <w:rPr>
                <w:b/>
              </w:rPr>
              <w:t>compliance/Issues</w:t>
            </w:r>
          </w:p>
        </w:tc>
        <w:tc>
          <w:tcPr>
            <w:tcW w:w="3064" w:type="dxa"/>
          </w:tcPr>
          <w:p w14:paraId="0BD7FEEE" w14:textId="77777777" w:rsidR="007E4FA5" w:rsidRPr="005F520E" w:rsidRDefault="007E4FA5" w:rsidP="000C16CE">
            <w:pPr>
              <w:spacing w:before="0"/>
              <w:ind w:left="0"/>
              <w:jc w:val="center"/>
              <w:rPr>
                <w:b/>
              </w:rPr>
            </w:pPr>
            <w:r w:rsidRPr="005F520E">
              <w:rPr>
                <w:b/>
              </w:rPr>
              <w:t>Typical Enforcement Action</w:t>
            </w:r>
          </w:p>
        </w:tc>
        <w:tc>
          <w:tcPr>
            <w:tcW w:w="3005" w:type="dxa"/>
          </w:tcPr>
          <w:p w14:paraId="0BD7FEEF" w14:textId="77777777" w:rsidR="007E4FA5" w:rsidRPr="005F520E" w:rsidRDefault="007E4FA5" w:rsidP="000C16CE">
            <w:pPr>
              <w:spacing w:before="0"/>
              <w:ind w:left="0"/>
              <w:jc w:val="center"/>
              <w:rPr>
                <w:b/>
              </w:rPr>
            </w:pPr>
            <w:r w:rsidRPr="005F520E">
              <w:rPr>
                <w:b/>
              </w:rPr>
              <w:t>Notes</w:t>
            </w:r>
          </w:p>
        </w:tc>
      </w:tr>
      <w:tr w:rsidR="007E4FA5" w14:paraId="0BD7FEF6" w14:textId="77777777" w:rsidTr="000C16CE">
        <w:trPr>
          <w:cantSplit/>
        </w:trPr>
        <w:tc>
          <w:tcPr>
            <w:tcW w:w="3147" w:type="dxa"/>
          </w:tcPr>
          <w:p w14:paraId="0BD7FEF1" w14:textId="77777777" w:rsidR="007E4FA5" w:rsidRPr="005F520E" w:rsidRDefault="007E4FA5" w:rsidP="000C16CE">
            <w:pPr>
              <w:spacing w:before="0"/>
              <w:ind w:left="0"/>
              <w:rPr>
                <w:rFonts w:cs="Arial"/>
              </w:rPr>
            </w:pPr>
            <w:r w:rsidRPr="005F520E">
              <w:rPr>
                <w:rFonts w:eastAsia="MS Mincho" w:cs="Arial"/>
                <w:szCs w:val="24"/>
              </w:rPr>
              <w:t>Failure to comply with a requirement to file AFSs</w:t>
            </w:r>
          </w:p>
        </w:tc>
        <w:tc>
          <w:tcPr>
            <w:tcW w:w="3064" w:type="dxa"/>
          </w:tcPr>
          <w:p w14:paraId="0BD7FEF2" w14:textId="77777777" w:rsidR="007E4FA5" w:rsidRPr="005F520E" w:rsidRDefault="007E4FA5" w:rsidP="000C16CE">
            <w:pPr>
              <w:spacing w:before="0"/>
              <w:ind w:left="0"/>
              <w:rPr>
                <w:rFonts w:cs="Arial"/>
              </w:rPr>
            </w:pPr>
            <w:r w:rsidRPr="005F520E">
              <w:rPr>
                <w:rFonts w:eastAsia="MS Mincho" w:cs="Arial"/>
                <w:szCs w:val="24"/>
              </w:rPr>
              <w:t>Civil Money Penalties</w:t>
            </w:r>
          </w:p>
        </w:tc>
        <w:tc>
          <w:tcPr>
            <w:tcW w:w="3005" w:type="dxa"/>
          </w:tcPr>
          <w:p w14:paraId="0BD7FEF3"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Identify the parties (entities and natural persons) that can be reached under the various statutes and consider how the civil money penalty factors for assessing a penalty will affect the efficacy of any penalty in correcting the non-compliance.</w:t>
            </w:r>
          </w:p>
          <w:p w14:paraId="0BD7FEF4" w14:textId="77777777" w:rsidR="007E4FA5" w:rsidRPr="005F520E" w:rsidRDefault="007E4FA5" w:rsidP="000C16CE">
            <w:pPr>
              <w:pStyle w:val="PlainText"/>
              <w:rPr>
                <w:rFonts w:ascii="Arial" w:eastAsia="MS Mincho" w:hAnsi="Arial" w:cs="Arial"/>
                <w:sz w:val="24"/>
                <w:szCs w:val="24"/>
              </w:rPr>
            </w:pPr>
          </w:p>
          <w:p w14:paraId="0BD7FEF5" w14:textId="77777777" w:rsidR="007E4FA5" w:rsidRPr="005F520E" w:rsidRDefault="007E4FA5" w:rsidP="000C16CE">
            <w:pPr>
              <w:spacing w:before="0"/>
              <w:ind w:left="0"/>
              <w:rPr>
                <w:rFonts w:cs="Arial"/>
              </w:rPr>
            </w:pPr>
            <w:r w:rsidRPr="005F520E">
              <w:rPr>
                <w:rFonts w:eastAsia="MS Mincho" w:cs="Arial"/>
                <w:szCs w:val="24"/>
              </w:rPr>
              <w:t>Consider LDP, Suspension, and Debarment, particularly for persistent or repeated violations.</w:t>
            </w:r>
          </w:p>
        </w:tc>
      </w:tr>
      <w:tr w:rsidR="007E4FA5" w14:paraId="0BD7FEFF" w14:textId="77777777" w:rsidTr="000C16CE">
        <w:trPr>
          <w:cantSplit/>
        </w:trPr>
        <w:tc>
          <w:tcPr>
            <w:tcW w:w="3147" w:type="dxa"/>
          </w:tcPr>
          <w:p w14:paraId="0BD7FEF7" w14:textId="77777777" w:rsidR="007E4FA5" w:rsidRPr="005F520E" w:rsidRDefault="00C5635F" w:rsidP="000C16CE">
            <w:pPr>
              <w:spacing w:before="0"/>
              <w:ind w:left="0"/>
              <w:rPr>
                <w:rFonts w:cs="Arial"/>
              </w:rPr>
            </w:pPr>
            <w:r>
              <w:rPr>
                <w:rFonts w:eastAsia="MS Mincho" w:cs="Arial"/>
                <w:szCs w:val="24"/>
              </w:rPr>
              <w:t>F</w:t>
            </w:r>
            <w:r w:rsidR="007E4FA5" w:rsidRPr="005F520E">
              <w:rPr>
                <w:rFonts w:eastAsia="MS Mincho" w:cs="Arial"/>
                <w:szCs w:val="24"/>
              </w:rPr>
              <w:t>ailure to comply with restrictions concerning the use of project funds a.k.a. Unauthorized Distributions of Project Funds</w:t>
            </w:r>
          </w:p>
        </w:tc>
        <w:tc>
          <w:tcPr>
            <w:tcW w:w="3064" w:type="dxa"/>
          </w:tcPr>
          <w:p w14:paraId="0BD7FEF8"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Civil Money Penalties</w:t>
            </w:r>
          </w:p>
          <w:p w14:paraId="0BD7FEF9"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Or</w:t>
            </w:r>
            <w:r>
              <w:rPr>
                <w:rFonts w:ascii="Arial" w:eastAsia="MS Mincho" w:hAnsi="Arial" w:cs="Arial"/>
                <w:sz w:val="24"/>
                <w:szCs w:val="24"/>
              </w:rPr>
              <w:t xml:space="preserve"> </w:t>
            </w:r>
            <w:r w:rsidRPr="005F520E">
              <w:rPr>
                <w:rFonts w:ascii="Arial" w:eastAsia="MS Mincho" w:hAnsi="Arial" w:cs="Arial"/>
                <w:sz w:val="24"/>
                <w:szCs w:val="24"/>
              </w:rPr>
              <w:t>Civil Lawsuit (Double Damages) for large sums</w:t>
            </w:r>
          </w:p>
        </w:tc>
        <w:tc>
          <w:tcPr>
            <w:tcW w:w="3005" w:type="dxa"/>
          </w:tcPr>
          <w:p w14:paraId="0BD7FEFA"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Identify the parties (entities and natural persons) that can be reached under the various statutes and consider how the civil money penalty factors for assessing a penalty will affect the efficacy of any penalty in correcting the non-compliance.</w:t>
            </w:r>
          </w:p>
          <w:p w14:paraId="0BD7FEFB" w14:textId="77777777" w:rsidR="007E4FA5" w:rsidRPr="005F520E" w:rsidRDefault="007E4FA5" w:rsidP="000C16CE">
            <w:pPr>
              <w:pStyle w:val="PlainText"/>
              <w:rPr>
                <w:rFonts w:ascii="Arial" w:eastAsia="MS Mincho" w:hAnsi="Arial" w:cs="Arial"/>
                <w:sz w:val="24"/>
                <w:szCs w:val="24"/>
              </w:rPr>
            </w:pPr>
          </w:p>
          <w:p w14:paraId="0BD7FEFC"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If the unauthorized disbursements are not returned to the project and the losses are sufficiently large, consider pursuing double damages. Consider the Government’s ability to collect any potential judgment.</w:t>
            </w:r>
          </w:p>
          <w:p w14:paraId="0BD7FEFD" w14:textId="77777777" w:rsidR="007E4FA5" w:rsidRPr="005F520E" w:rsidRDefault="007E4FA5" w:rsidP="000C16CE">
            <w:pPr>
              <w:pStyle w:val="PlainText"/>
              <w:rPr>
                <w:rFonts w:ascii="Arial" w:eastAsia="MS Mincho" w:hAnsi="Arial" w:cs="Arial"/>
                <w:sz w:val="24"/>
                <w:szCs w:val="24"/>
              </w:rPr>
            </w:pPr>
          </w:p>
          <w:p w14:paraId="0BD7FEFE" w14:textId="77777777" w:rsidR="007E4FA5" w:rsidRPr="005F520E" w:rsidRDefault="007E4FA5" w:rsidP="000C16CE">
            <w:pPr>
              <w:spacing w:before="0"/>
              <w:ind w:left="0"/>
              <w:rPr>
                <w:rFonts w:cs="Arial"/>
              </w:rPr>
            </w:pPr>
            <w:r w:rsidRPr="005F520E">
              <w:rPr>
                <w:rFonts w:eastAsia="MS Mincho" w:cs="Arial"/>
                <w:szCs w:val="24"/>
              </w:rPr>
              <w:t>Also consider LDP, Suspension, and Debarment, particularly for persistent or repeated violations.</w:t>
            </w:r>
          </w:p>
        </w:tc>
      </w:tr>
      <w:tr w:rsidR="007E4FA5" w14:paraId="0BD7FF05" w14:textId="77777777" w:rsidTr="000C16CE">
        <w:trPr>
          <w:cantSplit/>
        </w:trPr>
        <w:tc>
          <w:tcPr>
            <w:tcW w:w="3147" w:type="dxa"/>
          </w:tcPr>
          <w:p w14:paraId="0BD7FF00" w14:textId="77777777" w:rsidR="007E4FA5" w:rsidRPr="005F520E" w:rsidRDefault="007E4FA5" w:rsidP="000C16CE">
            <w:pPr>
              <w:spacing w:before="0"/>
              <w:ind w:left="0"/>
              <w:rPr>
                <w:rFonts w:cs="Arial"/>
              </w:rPr>
            </w:pPr>
            <w:r w:rsidRPr="005F520E">
              <w:rPr>
                <w:rFonts w:eastAsia="MS Mincho" w:cs="Arial"/>
                <w:szCs w:val="24"/>
              </w:rPr>
              <w:t xml:space="preserve">Any Use Agreement </w:t>
            </w:r>
            <w:r>
              <w:rPr>
                <w:rFonts w:eastAsia="MS Mincho" w:cs="Arial"/>
                <w:szCs w:val="24"/>
              </w:rPr>
              <w:t>n</w:t>
            </w:r>
            <w:r w:rsidRPr="005F520E">
              <w:rPr>
                <w:rFonts w:eastAsia="MS Mincho" w:cs="Arial"/>
                <w:szCs w:val="24"/>
              </w:rPr>
              <w:t>on-</w:t>
            </w:r>
            <w:r>
              <w:rPr>
                <w:rFonts w:eastAsia="MS Mincho" w:cs="Arial"/>
                <w:szCs w:val="24"/>
              </w:rPr>
              <w:t>c</w:t>
            </w:r>
            <w:r w:rsidRPr="005F520E">
              <w:rPr>
                <w:rFonts w:eastAsia="MS Mincho" w:cs="Arial"/>
                <w:szCs w:val="24"/>
              </w:rPr>
              <w:t>ompliance (absent any other business agreements with HUD)</w:t>
            </w:r>
          </w:p>
        </w:tc>
        <w:tc>
          <w:tcPr>
            <w:tcW w:w="3064" w:type="dxa"/>
          </w:tcPr>
          <w:p w14:paraId="0BD7FF01"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Civil Lawsuit (Specific Performance and/or Liquidated Damages)</w:t>
            </w:r>
          </w:p>
        </w:tc>
        <w:tc>
          <w:tcPr>
            <w:tcW w:w="3005" w:type="dxa"/>
          </w:tcPr>
          <w:p w14:paraId="0BD7FF02"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 xml:space="preserve">Consider LDP, Suspension, and Debarment if the responsible party conducts business with HUD or any other </w:t>
            </w:r>
            <w:r>
              <w:rPr>
                <w:rFonts w:ascii="Arial" w:eastAsia="MS Mincho" w:hAnsi="Arial" w:cs="Arial"/>
                <w:sz w:val="24"/>
                <w:szCs w:val="24"/>
              </w:rPr>
              <w:t>f</w:t>
            </w:r>
            <w:r w:rsidRPr="005F520E">
              <w:rPr>
                <w:rFonts w:ascii="Arial" w:eastAsia="MS Mincho" w:hAnsi="Arial" w:cs="Arial"/>
                <w:sz w:val="24"/>
                <w:szCs w:val="24"/>
              </w:rPr>
              <w:t>ederal agency.</w:t>
            </w:r>
          </w:p>
          <w:p w14:paraId="0BD7FF03" w14:textId="77777777" w:rsidR="007E4FA5" w:rsidRPr="005F520E" w:rsidRDefault="007E4FA5" w:rsidP="000C16CE">
            <w:pPr>
              <w:pStyle w:val="PlainText"/>
              <w:rPr>
                <w:rFonts w:ascii="Arial" w:eastAsia="MS Mincho" w:hAnsi="Arial" w:cs="Arial"/>
                <w:sz w:val="24"/>
                <w:szCs w:val="24"/>
              </w:rPr>
            </w:pPr>
          </w:p>
          <w:p w14:paraId="0BD7FF04" w14:textId="77777777" w:rsidR="007E4FA5" w:rsidRPr="005F520E" w:rsidRDefault="007E4FA5" w:rsidP="000C16CE">
            <w:pPr>
              <w:spacing w:before="0"/>
              <w:ind w:left="0"/>
              <w:rPr>
                <w:rFonts w:cs="Arial"/>
              </w:rPr>
            </w:pPr>
            <w:r w:rsidRPr="005F520E">
              <w:rPr>
                <w:rFonts w:eastAsia="MS Mincho" w:cs="Arial"/>
                <w:szCs w:val="24"/>
              </w:rPr>
              <w:t>Available remedies depend on the specific terms of the Use Agreement.</w:t>
            </w:r>
          </w:p>
        </w:tc>
      </w:tr>
      <w:tr w:rsidR="007E4FA5" w14:paraId="0BD7FF0B" w14:textId="77777777" w:rsidTr="000C16CE">
        <w:trPr>
          <w:cantSplit/>
        </w:trPr>
        <w:tc>
          <w:tcPr>
            <w:tcW w:w="3147" w:type="dxa"/>
          </w:tcPr>
          <w:p w14:paraId="0BD7FF06" w14:textId="77777777" w:rsidR="007E4FA5" w:rsidRPr="005F520E" w:rsidRDefault="007E4FA5" w:rsidP="000C16CE">
            <w:pPr>
              <w:spacing w:before="0"/>
              <w:ind w:left="0"/>
              <w:rPr>
                <w:rFonts w:cs="Arial"/>
              </w:rPr>
            </w:pPr>
            <w:r w:rsidRPr="005F520E">
              <w:rPr>
                <w:rFonts w:eastAsia="MS Mincho" w:cs="Arial"/>
                <w:szCs w:val="24"/>
              </w:rPr>
              <w:t>Any behavior by a program participant that demonstrates a lack of “Present Responsibility.”</w:t>
            </w:r>
          </w:p>
        </w:tc>
        <w:tc>
          <w:tcPr>
            <w:tcW w:w="3064" w:type="dxa"/>
          </w:tcPr>
          <w:p w14:paraId="0BD7FF07" w14:textId="77777777" w:rsidR="007E4FA5" w:rsidRPr="005F520E" w:rsidRDefault="007E4FA5" w:rsidP="000C16CE">
            <w:pPr>
              <w:spacing w:before="0"/>
              <w:ind w:left="0"/>
              <w:rPr>
                <w:rFonts w:cs="Arial"/>
              </w:rPr>
            </w:pPr>
            <w:r w:rsidRPr="005F520E">
              <w:rPr>
                <w:rFonts w:eastAsia="MS Mincho" w:cs="Arial"/>
                <w:szCs w:val="24"/>
              </w:rPr>
              <w:t>LDP, Suspension, or Debarment</w:t>
            </w:r>
          </w:p>
        </w:tc>
        <w:tc>
          <w:tcPr>
            <w:tcW w:w="3005" w:type="dxa"/>
          </w:tcPr>
          <w:p w14:paraId="0BD7FF08"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 xml:space="preserve">LDP is effective only for participants seeking to do business with HUD. Suspension and Debarment are effective throughout the Federal </w:t>
            </w:r>
            <w:r>
              <w:rPr>
                <w:rFonts w:ascii="Arial" w:eastAsia="MS Mincho" w:hAnsi="Arial" w:cs="Arial"/>
                <w:sz w:val="24"/>
                <w:szCs w:val="24"/>
              </w:rPr>
              <w:t>G</w:t>
            </w:r>
            <w:r w:rsidRPr="005F520E">
              <w:rPr>
                <w:rFonts w:ascii="Arial" w:eastAsia="MS Mincho" w:hAnsi="Arial" w:cs="Arial"/>
                <w:sz w:val="24"/>
                <w:szCs w:val="24"/>
              </w:rPr>
              <w:t>overnment.</w:t>
            </w:r>
          </w:p>
          <w:p w14:paraId="0BD7FF09" w14:textId="77777777" w:rsidR="007E4FA5" w:rsidRPr="005F520E" w:rsidRDefault="007E4FA5" w:rsidP="000C16CE">
            <w:pPr>
              <w:pStyle w:val="PlainText"/>
              <w:rPr>
                <w:rFonts w:ascii="Arial" w:eastAsia="MS Mincho" w:hAnsi="Arial" w:cs="Arial"/>
                <w:sz w:val="24"/>
                <w:szCs w:val="24"/>
              </w:rPr>
            </w:pPr>
          </w:p>
          <w:p w14:paraId="0BD7FF0A" w14:textId="77777777" w:rsidR="007E4FA5" w:rsidRPr="005F520E" w:rsidRDefault="007E4FA5" w:rsidP="000C16CE">
            <w:pPr>
              <w:spacing w:before="0"/>
              <w:ind w:left="0"/>
              <w:rPr>
                <w:rFonts w:cs="Arial"/>
              </w:rPr>
            </w:pPr>
            <w:r w:rsidRPr="005F520E">
              <w:rPr>
                <w:rFonts w:eastAsia="MS Mincho" w:cs="Arial"/>
                <w:szCs w:val="24"/>
              </w:rPr>
              <w:t xml:space="preserve">If immediate action is needed to protect </w:t>
            </w:r>
            <w:r>
              <w:rPr>
                <w:rFonts w:eastAsia="MS Mincho" w:cs="Arial"/>
                <w:szCs w:val="24"/>
              </w:rPr>
              <w:t>f</w:t>
            </w:r>
            <w:r w:rsidRPr="005F520E">
              <w:rPr>
                <w:rFonts w:eastAsia="MS Mincho" w:cs="Arial"/>
                <w:szCs w:val="24"/>
              </w:rPr>
              <w:t>ederal interests, suspension can be sought based on “adequate evidence” that there may be a cause for debarment.</w:t>
            </w:r>
          </w:p>
        </w:tc>
      </w:tr>
      <w:tr w:rsidR="007E4FA5" w14:paraId="0BD7FF0F" w14:textId="77777777" w:rsidTr="000C16CE">
        <w:trPr>
          <w:cantSplit/>
        </w:trPr>
        <w:tc>
          <w:tcPr>
            <w:tcW w:w="3147" w:type="dxa"/>
          </w:tcPr>
          <w:p w14:paraId="0BD7FF0C"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Failure to maintain req</w:t>
            </w:r>
            <w:r>
              <w:rPr>
                <w:rFonts w:ascii="Arial" w:eastAsia="MS Mincho" w:hAnsi="Arial" w:cs="Arial"/>
                <w:sz w:val="24"/>
                <w:szCs w:val="24"/>
              </w:rPr>
              <w:t xml:space="preserve">uired physical standards (i.e., </w:t>
            </w:r>
            <w:r w:rsidRPr="005F520E">
              <w:rPr>
                <w:rFonts w:ascii="Arial" w:eastAsia="MS Mincho" w:hAnsi="Arial" w:cs="Arial"/>
                <w:sz w:val="24"/>
                <w:szCs w:val="24"/>
              </w:rPr>
              <w:t>Decent/Safe/Sanitary)</w:t>
            </w:r>
          </w:p>
        </w:tc>
        <w:tc>
          <w:tcPr>
            <w:tcW w:w="3064" w:type="dxa"/>
          </w:tcPr>
          <w:p w14:paraId="0BD7FF0D" w14:textId="77777777" w:rsidR="007E4FA5" w:rsidRPr="005F520E" w:rsidRDefault="007E4FA5" w:rsidP="000C16CE">
            <w:pPr>
              <w:pStyle w:val="PlainText"/>
              <w:rPr>
                <w:rFonts w:ascii="Arial" w:eastAsia="MS Mincho" w:hAnsi="Arial" w:cs="Arial"/>
                <w:sz w:val="24"/>
                <w:szCs w:val="24"/>
              </w:rPr>
            </w:pPr>
            <w:r w:rsidRPr="005F520E">
              <w:rPr>
                <w:rFonts w:ascii="Arial" w:eastAsia="MS Mincho" w:hAnsi="Arial" w:cs="Arial"/>
                <w:sz w:val="24"/>
                <w:szCs w:val="24"/>
              </w:rPr>
              <w:t>Notice of Violation,</w:t>
            </w:r>
            <w:r>
              <w:rPr>
                <w:rFonts w:ascii="Arial" w:eastAsia="MS Mincho" w:hAnsi="Arial" w:cs="Arial"/>
                <w:sz w:val="24"/>
                <w:szCs w:val="24"/>
              </w:rPr>
              <w:t xml:space="preserve"> </w:t>
            </w:r>
            <w:r w:rsidRPr="005F520E">
              <w:rPr>
                <w:rFonts w:ascii="Arial" w:eastAsia="MS Mincho" w:hAnsi="Arial" w:cs="Arial"/>
                <w:sz w:val="24"/>
                <w:szCs w:val="24"/>
              </w:rPr>
              <w:t>Notice of Default, and/or Civil Money Penalties</w:t>
            </w:r>
          </w:p>
        </w:tc>
        <w:tc>
          <w:tcPr>
            <w:tcW w:w="3005" w:type="dxa"/>
          </w:tcPr>
          <w:p w14:paraId="0BD7FF0E" w14:textId="77777777" w:rsidR="007E4FA5" w:rsidRPr="005F520E" w:rsidRDefault="007E4FA5" w:rsidP="000C16CE">
            <w:pPr>
              <w:spacing w:before="0"/>
              <w:ind w:left="0"/>
              <w:rPr>
                <w:rFonts w:cs="Arial"/>
              </w:rPr>
            </w:pPr>
            <w:r w:rsidRPr="005F520E">
              <w:rPr>
                <w:rFonts w:eastAsia="MS Mincho" w:cs="Arial"/>
                <w:szCs w:val="24"/>
              </w:rPr>
              <w:t>After issuance of the proper notice(s), HUD may move to foreclose and/or abate the Section 8 contract if the conditions are not remedied.</w:t>
            </w:r>
          </w:p>
        </w:tc>
      </w:tr>
    </w:tbl>
    <w:p w14:paraId="0BD7FF10" w14:textId="77777777" w:rsidR="00233A18" w:rsidRDefault="00233A18" w:rsidP="00771627">
      <w:pPr>
        <w:ind w:left="0"/>
      </w:pPr>
    </w:p>
    <w:p w14:paraId="0BD7FF11" w14:textId="77777777" w:rsidR="00233A18" w:rsidRDefault="00233A18">
      <w:pPr>
        <w:spacing w:before="0" w:line="276" w:lineRule="auto"/>
        <w:ind w:left="0"/>
      </w:pPr>
      <w:r>
        <w:br w:type="page"/>
      </w:r>
    </w:p>
    <w:p w14:paraId="0BD7FF12" w14:textId="77777777" w:rsidR="007E4FA5" w:rsidRDefault="00233A18" w:rsidP="00061AF0">
      <w:pPr>
        <w:ind w:left="0"/>
        <w:jc w:val="center"/>
        <w:rPr>
          <w:b/>
        </w:rPr>
      </w:pPr>
      <w:r>
        <w:rPr>
          <w:b/>
        </w:rPr>
        <w:t xml:space="preserve">Exhibit </w:t>
      </w:r>
      <w:r w:rsidR="00D36687">
        <w:rPr>
          <w:b/>
        </w:rPr>
        <w:t>5-</w:t>
      </w:r>
      <w:r w:rsidR="00E2183E">
        <w:rPr>
          <w:b/>
        </w:rPr>
        <w:t>6 DEC</w:t>
      </w:r>
      <w:r>
        <w:rPr>
          <w:b/>
        </w:rPr>
        <w:t xml:space="preserve"> Satellite Office Jurisdictions</w:t>
      </w:r>
    </w:p>
    <w:p w14:paraId="0BD7FF13" w14:textId="77777777" w:rsidR="00233A18" w:rsidRDefault="00233A18" w:rsidP="00771627">
      <w:pPr>
        <w:ind w:left="0"/>
        <w:rPr>
          <w:b/>
        </w:rPr>
      </w:pPr>
    </w:p>
    <w:p w14:paraId="0BD7FF14" w14:textId="77777777" w:rsidR="00233A18" w:rsidRPr="005763EA" w:rsidRDefault="00233A18" w:rsidP="00061AF0">
      <w:pPr>
        <w:ind w:left="0"/>
        <w:jc w:val="center"/>
      </w:pPr>
      <w:r>
        <w:rPr>
          <w:noProof/>
        </w:rPr>
        <w:drawing>
          <wp:inline distT="0" distB="0" distL="0" distR="0" wp14:anchorId="0BD7FF15" wp14:editId="0BD7FF16">
            <wp:extent cx="510540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05400" cy="3695700"/>
                    </a:xfrm>
                    <a:prstGeom prst="rect">
                      <a:avLst/>
                    </a:prstGeom>
                  </pic:spPr>
                </pic:pic>
              </a:graphicData>
            </a:graphic>
          </wp:inline>
        </w:drawing>
      </w:r>
    </w:p>
    <w:sectPr w:rsidR="00233A18" w:rsidRPr="005763EA" w:rsidSect="001362B7">
      <w:headerReference w:type="default" r:id="rId15"/>
      <w:footerReference w:type="default" r:id="rId16"/>
      <w:pgSz w:w="12240" w:h="15840" w:code="1"/>
      <w:pgMar w:top="171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91430" w14:textId="77777777" w:rsidR="00826F2D" w:rsidRDefault="00826F2D" w:rsidP="001C06F4">
      <w:r>
        <w:separator/>
      </w:r>
    </w:p>
  </w:endnote>
  <w:endnote w:type="continuationSeparator" w:id="0">
    <w:p w14:paraId="6A2F5B29" w14:textId="77777777" w:rsidR="00826F2D" w:rsidRDefault="00826F2D" w:rsidP="001C06F4">
      <w:r>
        <w:continuationSeparator/>
      </w:r>
    </w:p>
  </w:endnote>
  <w:endnote w:type="continuationNotice" w:id="1">
    <w:p w14:paraId="7DB07080" w14:textId="77777777" w:rsidR="00826F2D" w:rsidRDefault="00826F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7FF1F" w14:textId="31D0B2B9" w:rsidR="00C3471B" w:rsidRDefault="00C3471B">
    <w:pPr>
      <w:pStyle w:val="Footer"/>
    </w:pPr>
    <w:r>
      <w:t>Handbook 4350.1</w:t>
    </w:r>
  </w:p>
  <w:p w14:paraId="0BD7FF20" w14:textId="2E652179" w:rsidR="00C3471B" w:rsidRDefault="00C3471B">
    <w:pPr>
      <w:pStyle w:val="Footer"/>
    </w:pPr>
    <w:r>
      <w:t>Current Date:</w:t>
    </w:r>
    <w:r w:rsidR="002A313F">
      <w:t xml:space="preserve"> 11/02/2016</w:t>
    </w:r>
  </w:p>
  <w:p w14:paraId="0BD7FF21" w14:textId="77777777" w:rsidR="00C3471B" w:rsidRDefault="00C34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A4BA1" w14:textId="77777777" w:rsidR="00826F2D" w:rsidRDefault="00826F2D" w:rsidP="001C06F4">
      <w:r>
        <w:separator/>
      </w:r>
    </w:p>
  </w:footnote>
  <w:footnote w:type="continuationSeparator" w:id="0">
    <w:p w14:paraId="129EC523" w14:textId="77777777" w:rsidR="00826F2D" w:rsidRDefault="00826F2D" w:rsidP="001C06F4">
      <w:r>
        <w:continuationSeparator/>
      </w:r>
    </w:p>
  </w:footnote>
  <w:footnote w:type="continuationNotice" w:id="1">
    <w:p w14:paraId="6BAA3FF4" w14:textId="77777777" w:rsidR="00826F2D" w:rsidRDefault="00826F2D">
      <w:pPr>
        <w:spacing w:before="0" w:after="0"/>
      </w:pPr>
    </w:p>
  </w:footnote>
  <w:footnote w:id="2">
    <w:p w14:paraId="0BD7FF23" w14:textId="77777777" w:rsidR="00C3471B" w:rsidRPr="004E6521" w:rsidRDefault="00C3471B" w:rsidP="00771627">
      <w:pPr>
        <w:autoSpaceDE w:val="0"/>
        <w:autoSpaceDN w:val="0"/>
        <w:adjustRightInd w:val="0"/>
        <w:spacing w:before="0" w:after="0"/>
        <w:ind w:left="0"/>
        <w:rPr>
          <w:rFonts w:cs="Arial"/>
        </w:rPr>
      </w:pPr>
      <w:r w:rsidRPr="00771627">
        <w:rPr>
          <w:rStyle w:val="FootnoteReference"/>
          <w:rFonts w:cs="Arial"/>
          <w:sz w:val="20"/>
          <w:szCs w:val="20"/>
        </w:rPr>
        <w:footnoteRef/>
      </w:r>
      <w:r w:rsidRPr="00771627">
        <w:rPr>
          <w:rFonts w:cs="Arial"/>
          <w:sz w:val="20"/>
          <w:szCs w:val="20"/>
        </w:rPr>
        <w:t xml:space="preserve"> Section 226 of Title II of Division K of the Consolidated and Further Continuing</w:t>
      </w:r>
      <w:r>
        <w:rPr>
          <w:rFonts w:cs="Arial"/>
          <w:sz w:val="20"/>
          <w:szCs w:val="20"/>
        </w:rPr>
        <w:t xml:space="preserve"> </w:t>
      </w:r>
      <w:r w:rsidRPr="00771627">
        <w:rPr>
          <w:rFonts w:cs="Arial"/>
          <w:sz w:val="20"/>
          <w:szCs w:val="20"/>
        </w:rPr>
        <w:t>Appropriations Act, 2015 (Pub. L. 113-235, approved December 16, 2014) reiterates the</w:t>
      </w:r>
      <w:r>
        <w:rPr>
          <w:rFonts w:cs="Arial"/>
          <w:sz w:val="20"/>
          <w:szCs w:val="20"/>
        </w:rPr>
        <w:t xml:space="preserve"> </w:t>
      </w:r>
      <w:r w:rsidRPr="00771627">
        <w:rPr>
          <w:rFonts w:cs="Arial"/>
          <w:sz w:val="20"/>
          <w:szCs w:val="20"/>
        </w:rPr>
        <w:t>direction first provided in section 230 of the Consolidated Appropriations Act, 2014 (Public Law</w:t>
      </w:r>
      <w:r>
        <w:rPr>
          <w:rFonts w:cs="Arial"/>
          <w:sz w:val="20"/>
          <w:szCs w:val="20"/>
        </w:rPr>
        <w:t xml:space="preserve"> </w:t>
      </w:r>
      <w:r w:rsidRPr="00771627">
        <w:rPr>
          <w:rFonts w:cs="Arial"/>
          <w:sz w:val="20"/>
          <w:szCs w:val="20"/>
        </w:rPr>
        <w:t>113-76, approved January 17, 2014) for HUD to take certain actions for multifamily projects, as</w:t>
      </w:r>
      <w:r>
        <w:rPr>
          <w:rFonts w:cs="Arial"/>
          <w:sz w:val="20"/>
          <w:szCs w:val="20"/>
        </w:rPr>
        <w:t xml:space="preserve"> </w:t>
      </w:r>
      <w:r w:rsidRPr="00771627">
        <w:rPr>
          <w:rFonts w:cs="Arial"/>
          <w:sz w:val="20"/>
          <w:szCs w:val="20"/>
        </w:rPr>
        <w:t>described in general provision 230, and repeated in general provision 226, that have failing REAC scores.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7FF1D" w14:textId="77777777" w:rsidR="00C3471B" w:rsidRDefault="00C34F39" w:rsidP="002C6915">
    <w:pPr>
      <w:pBdr>
        <w:bottom w:val="single" w:sz="4" w:space="1" w:color="auto"/>
      </w:pBdr>
      <w:tabs>
        <w:tab w:val="right" w:pos="9360"/>
      </w:tabs>
      <w:spacing w:before="0" w:after="0"/>
      <w:ind w:left="0"/>
      <w:rPr>
        <w:noProof/>
        <w:sz w:val="20"/>
        <w:szCs w:val="20"/>
      </w:rPr>
    </w:pPr>
    <w:sdt>
      <w:sdtPr>
        <w:rPr>
          <w:noProof/>
          <w:sz w:val="20"/>
          <w:szCs w:val="20"/>
        </w:rPr>
        <w:id w:val="1242676362"/>
        <w:docPartObj>
          <w:docPartGallery w:val="Watermarks"/>
          <w:docPartUnique/>
        </w:docPartObj>
      </w:sdtPr>
      <w:sdtEndPr/>
      <w:sdtContent>
        <w:r>
          <w:rPr>
            <w:noProof/>
            <w:sz w:val="20"/>
            <w:szCs w:val="20"/>
          </w:rPr>
          <w:pict w14:anchorId="0BD7F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3471B">
      <w:rPr>
        <w:noProof/>
        <w:sz w:val="20"/>
        <w:szCs w:val="20"/>
      </w:rPr>
      <w:t>Unit 5   Asset Compliance and Enforcement</w:t>
    </w:r>
  </w:p>
  <w:p w14:paraId="0BD7FF1E" w14:textId="7E703DB8" w:rsidR="00C3471B" w:rsidRDefault="00C3471B" w:rsidP="002C6915">
    <w:pPr>
      <w:pBdr>
        <w:bottom w:val="single" w:sz="4" w:space="1" w:color="auto"/>
      </w:pBdr>
      <w:tabs>
        <w:tab w:val="right" w:pos="9360"/>
      </w:tabs>
      <w:spacing w:before="0" w:after="0"/>
      <w:ind w:left="0"/>
      <w:rPr>
        <w:noProof/>
        <w:sz w:val="20"/>
        <w:szCs w:val="20"/>
      </w:rPr>
    </w:pPr>
    <w:r>
      <w:rPr>
        <w:noProof/>
        <w:sz w:val="20"/>
        <w:szCs w:val="20"/>
      </w:rPr>
      <w:t>Chapter 5.</w:t>
    </w:r>
    <w:r w:rsidR="002A313F">
      <w:rPr>
        <w:noProof/>
        <w:sz w:val="20"/>
        <w:szCs w:val="20"/>
      </w:rPr>
      <w:t>0</w:t>
    </w:r>
    <w:r>
      <w:rPr>
        <w:noProof/>
        <w:sz w:val="20"/>
        <w:szCs w:val="20"/>
      </w:rPr>
      <w:t>1 Enforcement of Mortgagor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3D6"/>
    <w:multiLevelType w:val="multilevel"/>
    <w:tmpl w:val="E60883DC"/>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3"/>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3"/>
      <w:numFmt w:val="decimal"/>
      <w:lvlText w:val="%5)"/>
      <w:lvlJc w:val="left"/>
      <w:pPr>
        <w:tabs>
          <w:tab w:val="num" w:pos="360"/>
        </w:tabs>
        <w:ind w:left="1080" w:hanging="360"/>
      </w:pPr>
      <w:rPr>
        <w:rFonts w:hint="default"/>
        <w:b w:val="0"/>
      </w:rPr>
    </w:lvl>
    <w:lvl w:ilvl="5">
      <w:start w:val="1"/>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 w15:restartNumberingAfterBreak="0">
    <w:nsid w:val="02227F12"/>
    <w:multiLevelType w:val="multilevel"/>
    <w:tmpl w:val="A0B82544"/>
    <w:lvl w:ilvl="0">
      <w:start w:val="1"/>
      <w:numFmt w:val="decimal"/>
      <w:lvlText w:val="Appendix %1."/>
      <w:lvlJc w:val="right"/>
      <w:pPr>
        <w:ind w:left="-990" w:hanging="72"/>
      </w:pPr>
      <w:rPr>
        <w:rFonts w:ascii="Arial" w:hAnsi="Arial" w:hint="default"/>
        <w:sz w:val="20"/>
      </w:rPr>
    </w:lvl>
    <w:lvl w:ilvl="1">
      <w:start w:val="1"/>
      <w:numFmt w:val="lowerLetter"/>
      <w:lvlText w:val="%2)"/>
      <w:lvlJc w:val="left"/>
      <w:pPr>
        <w:ind w:left="-630" w:hanging="360"/>
      </w:pPr>
      <w:rPr>
        <w:rFonts w:hint="default"/>
      </w:rPr>
    </w:lvl>
    <w:lvl w:ilvl="2">
      <w:start w:val="1"/>
      <w:numFmt w:val="lowerRoman"/>
      <w:lvlText w:val="%3)"/>
      <w:lvlJc w:val="left"/>
      <w:pPr>
        <w:ind w:left="-270" w:hanging="360"/>
      </w:pPr>
      <w:rPr>
        <w:rFonts w:hint="default"/>
      </w:rPr>
    </w:lvl>
    <w:lvl w:ilvl="3">
      <w:start w:val="1"/>
      <w:numFmt w:val="decimal"/>
      <w:lvlText w:val="(%4)"/>
      <w:lvlJc w:val="left"/>
      <w:pPr>
        <w:ind w:left="9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81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1530" w:hanging="360"/>
      </w:pPr>
      <w:rPr>
        <w:rFonts w:hint="default"/>
      </w:rPr>
    </w:lvl>
    <w:lvl w:ilvl="8">
      <w:start w:val="1"/>
      <w:numFmt w:val="upperLetter"/>
      <w:pStyle w:val="Header"/>
      <w:lvlText w:val="Appendix %9. "/>
      <w:lvlJc w:val="left"/>
      <w:pPr>
        <w:ind w:left="-630" w:firstLine="21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31A23FA"/>
    <w:multiLevelType w:val="hybridMultilevel"/>
    <w:tmpl w:val="2CFE8098"/>
    <w:lvl w:ilvl="0" w:tplc="FFFFFFFF">
      <w:start w:val="1"/>
      <w:numFmt w:val="bullet"/>
      <w:pStyle w:val="Bullet2"/>
      <w:lvlText w:val=""/>
      <w:lvlJc w:val="left"/>
      <w:pPr>
        <w:tabs>
          <w:tab w:val="num" w:pos="1512"/>
        </w:tabs>
        <w:ind w:left="1512"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C02B2"/>
    <w:multiLevelType w:val="hybridMultilevel"/>
    <w:tmpl w:val="074667B8"/>
    <w:lvl w:ilvl="0" w:tplc="9BD0FD24">
      <w:start w:val="1"/>
      <w:numFmt w:val="decimal"/>
      <w:pStyle w:val="Heading2"/>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315B9"/>
    <w:multiLevelType w:val="hybridMultilevel"/>
    <w:tmpl w:val="FCC4B892"/>
    <w:lvl w:ilvl="0" w:tplc="4B7644E0">
      <w:start w:val="1"/>
      <w:numFmt w:val="lowerLetter"/>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F777E"/>
    <w:multiLevelType w:val="multilevel"/>
    <w:tmpl w:val="582CE91C"/>
    <w:lvl w:ilvl="0">
      <w:start w:val="1"/>
      <w:numFmt w:val="upperLetter"/>
      <w:pStyle w:val="HBAOutline"/>
      <w:lvlText w:val="%1."/>
      <w:lvlJc w:val="left"/>
      <w:pPr>
        <w:ind w:left="720" w:hanging="360"/>
      </w:pPr>
      <w:rPr>
        <w:rFonts w:ascii="Arial" w:hAnsi="Arial" w:hint="default"/>
        <w:b w:val="0"/>
        <w:i w:val="0"/>
        <w:color w:val="auto"/>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Letter"/>
      <w:lvlText w:val="%6)"/>
      <w:lvlJc w:val="lef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B167353"/>
    <w:multiLevelType w:val="multilevel"/>
    <w:tmpl w:val="458427DA"/>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4"/>
      <w:numFmt w:val="decimal"/>
      <w:lvlText w:val="%5)"/>
      <w:lvlJc w:val="left"/>
      <w:pPr>
        <w:tabs>
          <w:tab w:val="num" w:pos="360"/>
        </w:tabs>
        <w:ind w:left="1080" w:hanging="360"/>
      </w:pPr>
      <w:rPr>
        <w:rFonts w:hint="default"/>
        <w:b w:val="0"/>
      </w:rPr>
    </w:lvl>
    <w:lvl w:ilvl="5">
      <w:start w:val="8"/>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7" w15:restartNumberingAfterBreak="0">
    <w:nsid w:val="10C57E16"/>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5E93A8D"/>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7A82A6F"/>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7BE793B"/>
    <w:multiLevelType w:val="multilevel"/>
    <w:tmpl w:val="3E2A3C36"/>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3"/>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1"/>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1" w15:restartNumberingAfterBreak="0">
    <w:nsid w:val="1E1B1794"/>
    <w:multiLevelType w:val="hybridMultilevel"/>
    <w:tmpl w:val="62FCDFB2"/>
    <w:lvl w:ilvl="0" w:tplc="4B7644E0">
      <w:start w:val="1"/>
      <w:numFmt w:val="lowerLetter"/>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77531"/>
    <w:multiLevelType w:val="multilevel"/>
    <w:tmpl w:val="5B60E20A"/>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5"/>
      <w:numFmt w:val="decimal"/>
      <w:lvlText w:val="%5)"/>
      <w:lvlJc w:val="left"/>
      <w:pPr>
        <w:tabs>
          <w:tab w:val="num" w:pos="360"/>
        </w:tabs>
        <w:ind w:left="1080" w:hanging="360"/>
      </w:pPr>
      <w:rPr>
        <w:rFonts w:hint="default"/>
        <w:b w:val="0"/>
      </w:rPr>
    </w:lvl>
    <w:lvl w:ilvl="5">
      <w:start w:val="1"/>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abstractNum>
  <w:abstractNum w:abstractNumId="13" w15:restartNumberingAfterBreak="0">
    <w:nsid w:val="283C44D2"/>
    <w:multiLevelType w:val="hybridMultilevel"/>
    <w:tmpl w:val="5656993E"/>
    <w:lvl w:ilvl="0" w:tplc="52CE3C3A">
      <w:start w:val="1"/>
      <w:numFmt w:val="decimal"/>
      <w:pStyle w:val="HB1Outline"/>
      <w:lvlText w:val="%1)"/>
      <w:lvlJc w:val="left"/>
      <w:pPr>
        <w:ind w:left="126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5A7FBE"/>
    <w:multiLevelType w:val="multilevel"/>
    <w:tmpl w:val="96F47AD8"/>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2"/>
      <w:numFmt w:val="decimal"/>
      <w:lvlText w:val="%5)"/>
      <w:lvlJc w:val="left"/>
      <w:pPr>
        <w:tabs>
          <w:tab w:val="num" w:pos="360"/>
        </w:tabs>
        <w:ind w:left="1080" w:hanging="360"/>
      </w:pPr>
      <w:rPr>
        <w:rFonts w:hint="default"/>
        <w:b w:val="0"/>
      </w:rPr>
    </w:lvl>
    <w:lvl w:ilvl="5">
      <w:start w:val="12"/>
      <w:numFmt w:val="lowerLetter"/>
      <w:lvlText w:val="%6)"/>
      <w:lvlJc w:val="left"/>
      <w:pPr>
        <w:tabs>
          <w:tab w:val="num" w:pos="270"/>
        </w:tabs>
        <w:ind w:left="1350" w:hanging="360"/>
      </w:pPr>
      <w:rPr>
        <w:rFonts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5" w15:restartNumberingAfterBreak="0">
    <w:nsid w:val="300442CB"/>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1F96B05"/>
    <w:multiLevelType w:val="multilevel"/>
    <w:tmpl w:val="8F449C1E"/>
    <w:lvl w:ilvl="0">
      <w:start w:val="1"/>
      <w:numFmt w:val="decimal"/>
      <w:pStyle w:val="Heading1"/>
      <w:lvlText w:val="Exhibit 8-%1"/>
      <w:lvlJc w:val="left"/>
      <w:pPr>
        <w:ind w:left="4410" w:hanging="360"/>
      </w:pPr>
      <w:rPr>
        <w:rFonts w:hint="default"/>
        <w:i w:val="0"/>
        <w:iCs w:val="0"/>
        <w: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3"/>
      <w:numFmt w:val="decimal"/>
      <w:lvlText w:val="%2."/>
      <w:lvlJc w:val="left"/>
      <w:pPr>
        <w:ind w:left="99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90"/>
        </w:tabs>
        <w:ind w:left="990" w:hanging="360"/>
      </w:pPr>
      <w:rPr>
        <w:rFonts w:ascii="Arial" w:hAnsi="Arial" w:hint="default"/>
        <w:b/>
        <w:i w:val="0"/>
        <w:sz w:val="24"/>
      </w:rPr>
    </w:lvl>
    <w:lvl w:ilvl="3">
      <w:start w:val="1"/>
      <w:numFmt w:val="upperLetter"/>
      <w:lvlText w:val="%4."/>
      <w:lvlJc w:val="left"/>
      <w:pPr>
        <w:tabs>
          <w:tab w:val="num" w:pos="630"/>
        </w:tabs>
        <w:ind w:left="99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990"/>
        </w:tabs>
        <w:ind w:left="1710" w:hanging="360"/>
      </w:pPr>
      <w:rPr>
        <w:rFonts w:hint="default"/>
        <w:b w:val="0"/>
      </w:rPr>
    </w:lvl>
    <w:lvl w:ilvl="5">
      <w:start w:val="1"/>
      <w:numFmt w:val="lowerLetter"/>
      <w:lvlText w:val="%6)"/>
      <w:lvlJc w:val="left"/>
      <w:pPr>
        <w:tabs>
          <w:tab w:val="num" w:pos="990"/>
        </w:tabs>
        <w:ind w:left="2070" w:hanging="360"/>
      </w:pPr>
      <w:rPr>
        <w:rFonts w:hint="default"/>
        <w:b w:val="0"/>
      </w:rPr>
    </w:lvl>
    <w:lvl w:ilvl="6">
      <w:start w:val="1"/>
      <w:numFmt w:val="lowerRoman"/>
      <w:lvlText w:val="%7)"/>
      <w:lvlJc w:val="left"/>
      <w:pPr>
        <w:tabs>
          <w:tab w:val="num" w:pos="990"/>
        </w:tabs>
        <w:ind w:left="2430" w:hanging="360"/>
      </w:pPr>
      <w:rPr>
        <w:rFonts w:hint="default"/>
      </w:rPr>
    </w:lvl>
    <w:lvl w:ilvl="7">
      <w:start w:val="1"/>
      <w:numFmt w:val="decimal"/>
      <w:lvlText w:val="(%8)"/>
      <w:lvlJc w:val="left"/>
      <w:pPr>
        <w:ind w:left="279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387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7" w15:restartNumberingAfterBreak="0">
    <w:nsid w:val="32DD7D02"/>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8030B1F"/>
    <w:multiLevelType w:val="hybridMultilevel"/>
    <w:tmpl w:val="898EA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0CB8"/>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D3C5BFD"/>
    <w:multiLevelType w:val="multilevel"/>
    <w:tmpl w:val="8CE0D088"/>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2"/>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12"/>
      <w:numFmt w:val="lowerLetter"/>
      <w:lvlText w:val="%6)"/>
      <w:lvlJc w:val="left"/>
      <w:pPr>
        <w:tabs>
          <w:tab w:val="num" w:pos="270"/>
        </w:tabs>
        <w:ind w:left="1350" w:hanging="360"/>
      </w:pPr>
      <w:rPr>
        <w:rFonts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1" w15:restartNumberingAfterBreak="0">
    <w:nsid w:val="424A4473"/>
    <w:multiLevelType w:val="hybridMultilevel"/>
    <w:tmpl w:val="58B46B3A"/>
    <w:lvl w:ilvl="0" w:tplc="4B7644E0">
      <w:start w:val="1"/>
      <w:numFmt w:val="lowerLetter"/>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36E66"/>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AED2E37"/>
    <w:multiLevelType w:val="multilevel"/>
    <w:tmpl w:val="B58C5302"/>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2"/>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1"/>
      <w:numFmt w:val="lowerLetter"/>
      <w:lvlText w:val="%6)"/>
      <w:lvlJc w:val="left"/>
      <w:pPr>
        <w:tabs>
          <w:tab w:val="num" w:pos="270"/>
        </w:tabs>
        <w:ind w:left="1350" w:hanging="360"/>
      </w:pPr>
      <w:rPr>
        <w:rFonts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4" w15:restartNumberingAfterBreak="0">
    <w:nsid w:val="4BAF2C0A"/>
    <w:multiLevelType w:val="multilevel"/>
    <w:tmpl w:val="E5D0DDFC"/>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3"/>
      <w:numFmt w:val="decimal"/>
      <w:lvlText w:val="%5)"/>
      <w:lvlJc w:val="left"/>
      <w:pPr>
        <w:tabs>
          <w:tab w:val="num" w:pos="360"/>
        </w:tabs>
        <w:ind w:left="1080" w:hanging="360"/>
      </w:pPr>
      <w:rPr>
        <w:rFonts w:hint="default"/>
        <w:b w:val="0"/>
      </w:rPr>
    </w:lvl>
    <w:lvl w:ilvl="5">
      <w:start w:val="1"/>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5" w15:restartNumberingAfterBreak="0">
    <w:nsid w:val="4BB34780"/>
    <w:multiLevelType w:val="hybridMultilevel"/>
    <w:tmpl w:val="57666230"/>
    <w:lvl w:ilvl="0" w:tplc="4B7644E0">
      <w:start w:val="1"/>
      <w:numFmt w:val="lowerLetter"/>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66D62"/>
    <w:multiLevelType w:val="multilevel"/>
    <w:tmpl w:val="74FC7C88"/>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3"/>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1"/>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7" w15:restartNumberingAfterBreak="0">
    <w:nsid w:val="4D9F1494"/>
    <w:multiLevelType w:val="multilevel"/>
    <w:tmpl w:val="21506EF2"/>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8"/>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8" w15:restartNumberingAfterBreak="0">
    <w:nsid w:val="57995EA3"/>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8AA3941"/>
    <w:multiLevelType w:val="hybridMultilevel"/>
    <w:tmpl w:val="F57C4E44"/>
    <w:lvl w:ilvl="0" w:tplc="8168EF06">
      <w:start w:val="1"/>
      <w:numFmt w:val="lowerRoman"/>
      <w:pStyle w:val="HBiOutline"/>
      <w:lvlText w:val="%1)"/>
      <w:lvlJc w:val="left"/>
      <w:pPr>
        <w:ind w:left="21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7D5C70"/>
    <w:multiLevelType w:val="hybridMultilevel"/>
    <w:tmpl w:val="58B46B3A"/>
    <w:lvl w:ilvl="0" w:tplc="4B7644E0">
      <w:start w:val="1"/>
      <w:numFmt w:val="lowerLetter"/>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39F0"/>
    <w:multiLevelType w:val="hybridMultilevel"/>
    <w:tmpl w:val="C96CD5EA"/>
    <w:lvl w:ilvl="0" w:tplc="CB9CA330">
      <w:start w:val="1"/>
      <w:numFmt w:val="decimal"/>
      <w:pStyle w:val="HBX1Outline"/>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F01E3"/>
    <w:multiLevelType w:val="hybridMultilevel"/>
    <w:tmpl w:val="14FC7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5A0414"/>
    <w:multiLevelType w:val="multilevel"/>
    <w:tmpl w:val="6A86FD58"/>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1"/>
      <w:numFmt w:val="upperLetter"/>
      <w:pStyle w:val="Heading4"/>
      <w:lvlText w:val="%4."/>
      <w:lvlJc w:val="left"/>
      <w:pPr>
        <w:tabs>
          <w:tab w:val="num" w:pos="360"/>
        </w:tabs>
        <w:ind w:left="720" w:hanging="360"/>
      </w:pPr>
      <w:rPr>
        <w:rFonts w:ascii="Arial" w:hAnsi="Arial" w:hint="default"/>
        <w:b w:val="0"/>
        <w:i w:val="0"/>
        <w:sz w:val="24"/>
      </w:rPr>
    </w:lvl>
    <w:lvl w:ilvl="4">
      <w:start w:val="1"/>
      <w:numFmt w:val="decimal"/>
      <w:pStyle w:val="Heading5"/>
      <w:lvlText w:val="%5)"/>
      <w:lvlJc w:val="left"/>
      <w:pPr>
        <w:tabs>
          <w:tab w:val="num" w:pos="360"/>
        </w:tabs>
        <w:ind w:left="1080" w:hanging="360"/>
      </w:pPr>
      <w:rPr>
        <w:rFonts w:hint="default"/>
        <w:b w:val="0"/>
      </w:rPr>
    </w:lvl>
    <w:lvl w:ilvl="5">
      <w:start w:val="1"/>
      <w:numFmt w:val="lowerLetter"/>
      <w:pStyle w:val="Heading6"/>
      <w:lvlText w:val="%6)"/>
      <w:lvlJc w:val="left"/>
      <w:pPr>
        <w:tabs>
          <w:tab w:val="num" w:pos="270"/>
        </w:tabs>
        <w:ind w:left="1350" w:hanging="360"/>
      </w:pPr>
      <w:rPr>
        <w:rFonts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pStyle w:val="Heading7"/>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pStyle w:val="Heading9"/>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4" w15:restartNumberingAfterBreak="0">
    <w:nsid w:val="748F6656"/>
    <w:multiLevelType w:val="hybridMultilevel"/>
    <w:tmpl w:val="0476A65A"/>
    <w:lvl w:ilvl="0" w:tplc="45A6671C">
      <w:start w:val="1"/>
      <w:numFmt w:val="lowerLetter"/>
      <w:pStyle w:val="HBaOutline0"/>
      <w:lvlText w:val="%1)"/>
      <w:lvlJc w:val="left"/>
      <w:pPr>
        <w:ind w:left="144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4A52252"/>
    <w:multiLevelType w:val="hybridMultilevel"/>
    <w:tmpl w:val="B7048B9A"/>
    <w:lvl w:ilvl="0" w:tplc="F56A8AF8">
      <w:start w:val="1"/>
      <w:numFmt w:val="lowerLetter"/>
      <w:pStyle w:val="level9outlin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A1270"/>
    <w:multiLevelType w:val="hybridMultilevel"/>
    <w:tmpl w:val="69681404"/>
    <w:lvl w:ilvl="0" w:tplc="EB0E13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7704823"/>
    <w:multiLevelType w:val="multilevel"/>
    <w:tmpl w:val="74FC7C88"/>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3"/>
      <w:numFmt w:val="decimal"/>
      <w:lvlText w:val="%2.%3"/>
      <w:lvlJc w:val="left"/>
      <w:pPr>
        <w:tabs>
          <w:tab w:val="num" w:pos="360"/>
        </w:tabs>
        <w:ind w:left="360" w:hanging="360"/>
      </w:pPr>
      <w:rPr>
        <w:rFonts w:ascii="Arial" w:hAnsi="Arial" w:hint="default"/>
        <w:b/>
        <w:i w:val="0"/>
        <w:sz w:val="24"/>
      </w:rPr>
    </w:lvl>
    <w:lvl w:ilvl="3">
      <w:start w:val="1"/>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1"/>
      <w:numFmt w:val="lowerLetter"/>
      <w:lvlText w:val="%6)"/>
      <w:lvlJc w:val="left"/>
      <w:pPr>
        <w:tabs>
          <w:tab w:val="num" w:pos="360"/>
        </w:tabs>
        <w:ind w:left="144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8" w15:restartNumberingAfterBreak="0">
    <w:nsid w:val="7CF35929"/>
    <w:multiLevelType w:val="multilevel"/>
    <w:tmpl w:val="B58C5302"/>
    <w:lvl w:ilvl="0">
      <w:start w:val="1"/>
      <w:numFmt w:val="upperRoman"/>
      <w:lvlText w:val="Appendix %1. "/>
      <w:lvlJc w:val="left"/>
      <w:pPr>
        <w:ind w:left="360" w:hanging="360"/>
      </w:pPr>
      <w:rPr>
        <w:rFonts w:ascii="Arial" w:hAnsi="Arial" w:hint="default"/>
        <w:b/>
        <w:i w:val="0"/>
        <w:caps/>
        <w:color w:val="auto"/>
        <w:sz w:val="32"/>
      </w:rPr>
    </w:lvl>
    <w:lvl w:ilvl="1">
      <w:start w:val="8"/>
      <w:numFmt w:val="decimal"/>
      <w:lvlText w:val="%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360"/>
        </w:tabs>
        <w:ind w:left="360" w:hanging="360"/>
      </w:pPr>
      <w:rPr>
        <w:rFonts w:ascii="Arial" w:hAnsi="Arial" w:hint="default"/>
        <w:b/>
        <w:i w:val="0"/>
        <w:sz w:val="24"/>
      </w:rPr>
    </w:lvl>
    <w:lvl w:ilvl="3">
      <w:start w:val="2"/>
      <w:numFmt w:val="upperLetter"/>
      <w:lvlText w:val="%4."/>
      <w:lvlJc w:val="left"/>
      <w:pPr>
        <w:tabs>
          <w:tab w:val="num" w:pos="360"/>
        </w:tabs>
        <w:ind w:left="720" w:hanging="360"/>
      </w:pPr>
      <w:rPr>
        <w:rFonts w:ascii="Arial" w:hAnsi="Arial" w:hint="default"/>
        <w:b w:val="0"/>
        <w:i w:val="0"/>
        <w:sz w:val="24"/>
      </w:rPr>
    </w:lvl>
    <w:lvl w:ilvl="4">
      <w:start w:val="1"/>
      <w:numFmt w:val="decimal"/>
      <w:lvlText w:val="%5)"/>
      <w:lvlJc w:val="left"/>
      <w:pPr>
        <w:tabs>
          <w:tab w:val="num" w:pos="360"/>
        </w:tabs>
        <w:ind w:left="1080" w:hanging="360"/>
      </w:pPr>
      <w:rPr>
        <w:rFonts w:hint="default"/>
        <w:b w:val="0"/>
      </w:rPr>
    </w:lvl>
    <w:lvl w:ilvl="5">
      <w:start w:val="1"/>
      <w:numFmt w:val="lowerLetter"/>
      <w:lvlText w:val="%6)"/>
      <w:lvlJc w:val="left"/>
      <w:pPr>
        <w:tabs>
          <w:tab w:val="num" w:pos="270"/>
        </w:tabs>
        <w:ind w:left="1350" w:hanging="360"/>
      </w:pPr>
      <w:rPr>
        <w:rFonts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Roman"/>
      <w:lvlText w:val="%7)"/>
      <w:lvlJc w:val="left"/>
      <w:pPr>
        <w:tabs>
          <w:tab w:val="num" w:pos="360"/>
        </w:tabs>
        <w:ind w:left="1800" w:hanging="360"/>
      </w:pPr>
      <w:rPr>
        <w:rFonts w:hint="default"/>
      </w:rPr>
    </w:lvl>
    <w:lvl w:ilvl="7">
      <w:start w:val="1"/>
      <w:numFmt w:val="decimal"/>
      <w:lvlText w:val="(%8)"/>
      <w:lvlJc w:val="left"/>
      <w:pPr>
        <w:ind w:left="21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lowerLetter"/>
      <w:lvlText w:val="(%9)"/>
      <w:lvlJc w:val="left"/>
      <w:pPr>
        <w:ind w:left="2520" w:hanging="360"/>
      </w:pPr>
      <w:rPr>
        <w:rFonts w:ascii="Arial" w:hAnsi="Arial" w:hint="default"/>
        <w:b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9" w15:restartNumberingAfterBreak="0">
    <w:nsid w:val="7DBB3819"/>
    <w:multiLevelType w:val="hybridMultilevel"/>
    <w:tmpl w:val="CCF0C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
  </w:num>
  <w:num w:numId="3">
    <w:abstractNumId w:val="16"/>
  </w:num>
  <w:num w:numId="4">
    <w:abstractNumId w:val="13"/>
  </w:num>
  <w:num w:numId="5">
    <w:abstractNumId w:val="5"/>
  </w:num>
  <w:num w:numId="6">
    <w:abstractNumId w:val="34"/>
  </w:num>
  <w:num w:numId="7">
    <w:abstractNumId w:val="2"/>
  </w:num>
  <w:num w:numId="8">
    <w:abstractNumId w:val="18"/>
  </w:num>
  <w:num w:numId="9">
    <w:abstractNumId w:val="8"/>
  </w:num>
  <w:num w:numId="10">
    <w:abstractNumId w:val="19"/>
  </w:num>
  <w:num w:numId="11">
    <w:abstractNumId w:val="15"/>
  </w:num>
  <w:num w:numId="12">
    <w:abstractNumId w:val="36"/>
  </w:num>
  <w:num w:numId="13">
    <w:abstractNumId w:val="32"/>
  </w:num>
  <w:num w:numId="14">
    <w:abstractNumId w:val="28"/>
  </w:num>
  <w:num w:numId="15">
    <w:abstractNumId w:val="22"/>
  </w:num>
  <w:num w:numId="16">
    <w:abstractNumId w:val="21"/>
  </w:num>
  <w:num w:numId="17">
    <w:abstractNumId w:val="4"/>
  </w:num>
  <w:num w:numId="18">
    <w:abstractNumId w:val="11"/>
  </w:num>
  <w:num w:numId="19">
    <w:abstractNumId w:val="25"/>
  </w:num>
  <w:num w:numId="20">
    <w:abstractNumId w:val="7"/>
  </w:num>
  <w:num w:numId="21">
    <w:abstractNumId w:val="30"/>
  </w:num>
  <w:num w:numId="22">
    <w:abstractNumId w:val="9"/>
  </w:num>
  <w:num w:numId="23">
    <w:abstractNumId w:val="17"/>
  </w:num>
  <w:num w:numId="24">
    <w:abstractNumId w:val="34"/>
    <w:lvlOverride w:ilvl="0">
      <w:startOverride w:val="1"/>
    </w:lvlOverride>
  </w:num>
  <w:num w:numId="25">
    <w:abstractNumId w:val="33"/>
  </w:num>
  <w:num w:numId="26">
    <w:abstractNumId w:val="14"/>
  </w:num>
  <w:num w:numId="27">
    <w:abstractNumId w:val="20"/>
  </w:num>
  <w:num w:numId="28">
    <w:abstractNumId w:val="23"/>
  </w:num>
  <w:num w:numId="29">
    <w:abstractNumId w:val="27"/>
  </w:num>
  <w:num w:numId="30">
    <w:abstractNumId w:val="6"/>
  </w:num>
  <w:num w:numId="31">
    <w:abstractNumId w:val="24"/>
  </w:num>
  <w:num w:numId="32">
    <w:abstractNumId w:val="0"/>
  </w:num>
  <w:num w:numId="33">
    <w:abstractNumId w:val="37"/>
  </w:num>
  <w:num w:numId="34">
    <w:abstractNumId w:val="39"/>
  </w:num>
  <w:num w:numId="35">
    <w:abstractNumId w:val="26"/>
  </w:num>
  <w:num w:numId="36">
    <w:abstractNumId w:val="10"/>
  </w:num>
  <w:num w:numId="37">
    <w:abstractNumId w:val="13"/>
    <w:lvlOverride w:ilvl="0">
      <w:startOverride w:val="1"/>
    </w:lvlOverride>
  </w:num>
  <w:num w:numId="38">
    <w:abstractNumId w:val="13"/>
    <w:lvlOverride w:ilvl="0">
      <w:startOverride w:val="1"/>
    </w:lvlOverride>
  </w:num>
  <w:num w:numId="39">
    <w:abstractNumId w:val="34"/>
    <w:lvlOverride w:ilvl="0">
      <w:startOverride w:val="1"/>
    </w:lvlOverride>
  </w:num>
  <w:num w:numId="40">
    <w:abstractNumId w:val="29"/>
    <w:lvlOverride w:ilvl="0">
      <w:startOverride w:val="1"/>
    </w:lvlOverride>
  </w:num>
  <w:num w:numId="41">
    <w:abstractNumId w:val="34"/>
    <w:lvlOverride w:ilvl="0">
      <w:startOverride w:val="1"/>
    </w:lvlOverride>
  </w:num>
  <w:num w:numId="42">
    <w:abstractNumId w:val="29"/>
  </w:num>
  <w:num w:numId="43">
    <w:abstractNumId w:val="29"/>
    <w:lvlOverride w:ilvl="0">
      <w:startOverride w:val="1"/>
    </w:lvlOverride>
  </w:num>
  <w:num w:numId="44">
    <w:abstractNumId w:val="34"/>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13"/>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29"/>
    <w:lvlOverride w:ilvl="0">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num>
  <w:num w:numId="53">
    <w:abstractNumId w:val="3"/>
  </w:num>
  <w:num w:numId="54">
    <w:abstractNumId w:val="31"/>
  </w:num>
  <w:num w:numId="55">
    <w:abstractNumId w:val="29"/>
    <w:lvlOverride w:ilvl="0">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num>
  <w:num w:numId="58">
    <w:abstractNumId w:val="38"/>
  </w:num>
  <w:num w:numId="59">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8"/>
    </w:lvlOverride>
    <w:lvlOverride w:ilvl="6">
      <w:startOverride w:val="1"/>
    </w:lvlOverride>
    <w:lvlOverride w:ilvl="7">
      <w:startOverride w:val="1"/>
    </w:lvlOverride>
    <w:lvlOverride w:ilvl="8">
      <w:startOverride w:val="1"/>
    </w:lvlOverride>
  </w:num>
  <w:num w:numId="61">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cumentProtection w:edit="readOnly" w:formatting="1" w:enforcement="1" w:cryptProviderType="rsaAES" w:cryptAlgorithmClass="hash" w:cryptAlgorithmType="typeAny" w:cryptAlgorithmSid="14" w:cryptSpinCount="100000" w:hash="ZzTCYtIjv1JeQ++ySaUeKptV0DHsOkitBpiKs703Kn9cPSZ3D8vlxpsNekqhn9rzRHnGWdW/e2OCoFML3ibaUA==" w:salt="Jy36G7uGM+vPTngsNXg3DA=="/>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E92AC179-A77C-46DD-BCF1-68E32EC988F6}"/>
  </w:docVars>
  <w:rsids>
    <w:rsidRoot w:val="00DE0D4C"/>
    <w:rsid w:val="00003587"/>
    <w:rsid w:val="00003B33"/>
    <w:rsid w:val="00006D8C"/>
    <w:rsid w:val="00006E48"/>
    <w:rsid w:val="00006EFE"/>
    <w:rsid w:val="0001046E"/>
    <w:rsid w:val="00012B7C"/>
    <w:rsid w:val="00014A46"/>
    <w:rsid w:val="00014AA4"/>
    <w:rsid w:val="00015D91"/>
    <w:rsid w:val="000160C0"/>
    <w:rsid w:val="00022754"/>
    <w:rsid w:val="000244CB"/>
    <w:rsid w:val="00025DA5"/>
    <w:rsid w:val="00027C7A"/>
    <w:rsid w:val="000310FF"/>
    <w:rsid w:val="00033F42"/>
    <w:rsid w:val="00034D6D"/>
    <w:rsid w:val="00035CAF"/>
    <w:rsid w:val="00041BDD"/>
    <w:rsid w:val="00043105"/>
    <w:rsid w:val="00043E14"/>
    <w:rsid w:val="00046561"/>
    <w:rsid w:val="00051982"/>
    <w:rsid w:val="00051CCD"/>
    <w:rsid w:val="00052256"/>
    <w:rsid w:val="00054BA2"/>
    <w:rsid w:val="000559B0"/>
    <w:rsid w:val="0005659F"/>
    <w:rsid w:val="0006141A"/>
    <w:rsid w:val="00061AF0"/>
    <w:rsid w:val="000636A0"/>
    <w:rsid w:val="0006393D"/>
    <w:rsid w:val="0007248B"/>
    <w:rsid w:val="0007302E"/>
    <w:rsid w:val="00073032"/>
    <w:rsid w:val="0007365C"/>
    <w:rsid w:val="00074908"/>
    <w:rsid w:val="00075440"/>
    <w:rsid w:val="0007744A"/>
    <w:rsid w:val="00077798"/>
    <w:rsid w:val="00081FD0"/>
    <w:rsid w:val="0008292F"/>
    <w:rsid w:val="000836C1"/>
    <w:rsid w:val="0008466E"/>
    <w:rsid w:val="00086849"/>
    <w:rsid w:val="00086F73"/>
    <w:rsid w:val="00087D50"/>
    <w:rsid w:val="000926F2"/>
    <w:rsid w:val="00092DEC"/>
    <w:rsid w:val="00093E14"/>
    <w:rsid w:val="00094AA1"/>
    <w:rsid w:val="00095C55"/>
    <w:rsid w:val="00095DE3"/>
    <w:rsid w:val="000970CA"/>
    <w:rsid w:val="000A34E7"/>
    <w:rsid w:val="000A56B9"/>
    <w:rsid w:val="000A629D"/>
    <w:rsid w:val="000B0447"/>
    <w:rsid w:val="000B30F0"/>
    <w:rsid w:val="000B460D"/>
    <w:rsid w:val="000B7DDE"/>
    <w:rsid w:val="000C059C"/>
    <w:rsid w:val="000C06FF"/>
    <w:rsid w:val="000C16CE"/>
    <w:rsid w:val="000C263C"/>
    <w:rsid w:val="000C4109"/>
    <w:rsid w:val="000C424C"/>
    <w:rsid w:val="000C448E"/>
    <w:rsid w:val="000C613D"/>
    <w:rsid w:val="000D2685"/>
    <w:rsid w:val="000D274A"/>
    <w:rsid w:val="000D3B92"/>
    <w:rsid w:val="000D40EA"/>
    <w:rsid w:val="000E3F98"/>
    <w:rsid w:val="000E407F"/>
    <w:rsid w:val="000E54A1"/>
    <w:rsid w:val="000E566E"/>
    <w:rsid w:val="000F3F10"/>
    <w:rsid w:val="000F50CF"/>
    <w:rsid w:val="000F5A7B"/>
    <w:rsid w:val="000F6B57"/>
    <w:rsid w:val="000F6E07"/>
    <w:rsid w:val="000F7FA5"/>
    <w:rsid w:val="00100343"/>
    <w:rsid w:val="001021B0"/>
    <w:rsid w:val="00103615"/>
    <w:rsid w:val="001047C1"/>
    <w:rsid w:val="00104C40"/>
    <w:rsid w:val="001106CA"/>
    <w:rsid w:val="001114E3"/>
    <w:rsid w:val="00114662"/>
    <w:rsid w:val="00115255"/>
    <w:rsid w:val="001163D9"/>
    <w:rsid w:val="0011796D"/>
    <w:rsid w:val="001205A2"/>
    <w:rsid w:val="0012134F"/>
    <w:rsid w:val="0012500D"/>
    <w:rsid w:val="00130553"/>
    <w:rsid w:val="00130EEE"/>
    <w:rsid w:val="00133A95"/>
    <w:rsid w:val="00134CA5"/>
    <w:rsid w:val="00135601"/>
    <w:rsid w:val="001362B7"/>
    <w:rsid w:val="001416CF"/>
    <w:rsid w:val="00144465"/>
    <w:rsid w:val="00145027"/>
    <w:rsid w:val="00146DA9"/>
    <w:rsid w:val="00150354"/>
    <w:rsid w:val="0015113D"/>
    <w:rsid w:val="00155065"/>
    <w:rsid w:val="0015529F"/>
    <w:rsid w:val="00160447"/>
    <w:rsid w:val="00163507"/>
    <w:rsid w:val="001642F8"/>
    <w:rsid w:val="0016435C"/>
    <w:rsid w:val="0016498A"/>
    <w:rsid w:val="00164A21"/>
    <w:rsid w:val="00165CE6"/>
    <w:rsid w:val="00167C74"/>
    <w:rsid w:val="00170142"/>
    <w:rsid w:val="00171918"/>
    <w:rsid w:val="00172A96"/>
    <w:rsid w:val="00173203"/>
    <w:rsid w:val="00174135"/>
    <w:rsid w:val="00174868"/>
    <w:rsid w:val="001820DF"/>
    <w:rsid w:val="00182198"/>
    <w:rsid w:val="0018244B"/>
    <w:rsid w:val="001829E4"/>
    <w:rsid w:val="0018303F"/>
    <w:rsid w:val="001854A0"/>
    <w:rsid w:val="0018701E"/>
    <w:rsid w:val="001912AA"/>
    <w:rsid w:val="00194DF8"/>
    <w:rsid w:val="00195FC1"/>
    <w:rsid w:val="00196C15"/>
    <w:rsid w:val="001A25AE"/>
    <w:rsid w:val="001B013D"/>
    <w:rsid w:val="001B28E7"/>
    <w:rsid w:val="001B67AF"/>
    <w:rsid w:val="001C06F4"/>
    <w:rsid w:val="001C0EB9"/>
    <w:rsid w:val="001C19FB"/>
    <w:rsid w:val="001C1E4E"/>
    <w:rsid w:val="001C26E2"/>
    <w:rsid w:val="001C2FF6"/>
    <w:rsid w:val="001C44B5"/>
    <w:rsid w:val="001C586E"/>
    <w:rsid w:val="001C6178"/>
    <w:rsid w:val="001C7314"/>
    <w:rsid w:val="001D06D0"/>
    <w:rsid w:val="001D4A1A"/>
    <w:rsid w:val="001D59F4"/>
    <w:rsid w:val="001E037F"/>
    <w:rsid w:val="001E0DA6"/>
    <w:rsid w:val="001E10BD"/>
    <w:rsid w:val="001E4F38"/>
    <w:rsid w:val="001E508B"/>
    <w:rsid w:val="001E6DCE"/>
    <w:rsid w:val="001E7066"/>
    <w:rsid w:val="001E75BE"/>
    <w:rsid w:val="001E75FF"/>
    <w:rsid w:val="001F0B3C"/>
    <w:rsid w:val="001F0C05"/>
    <w:rsid w:val="001F171B"/>
    <w:rsid w:val="001F3460"/>
    <w:rsid w:val="001F4DD6"/>
    <w:rsid w:val="001F5BDE"/>
    <w:rsid w:val="001F6119"/>
    <w:rsid w:val="001F7D68"/>
    <w:rsid w:val="002010BC"/>
    <w:rsid w:val="00201666"/>
    <w:rsid w:val="002035A1"/>
    <w:rsid w:val="00203EB8"/>
    <w:rsid w:val="0020482B"/>
    <w:rsid w:val="0020547B"/>
    <w:rsid w:val="00207EE1"/>
    <w:rsid w:val="0021042F"/>
    <w:rsid w:val="0021306C"/>
    <w:rsid w:val="002205C8"/>
    <w:rsid w:val="002208A8"/>
    <w:rsid w:val="0022125A"/>
    <w:rsid w:val="00221834"/>
    <w:rsid w:val="00226AED"/>
    <w:rsid w:val="00226FFF"/>
    <w:rsid w:val="002300E5"/>
    <w:rsid w:val="00231B6A"/>
    <w:rsid w:val="0023296B"/>
    <w:rsid w:val="00233050"/>
    <w:rsid w:val="002335DE"/>
    <w:rsid w:val="00233A18"/>
    <w:rsid w:val="0023547A"/>
    <w:rsid w:val="002356AE"/>
    <w:rsid w:val="002400B2"/>
    <w:rsid w:val="002408BA"/>
    <w:rsid w:val="002429DC"/>
    <w:rsid w:val="00244D2F"/>
    <w:rsid w:val="0024502D"/>
    <w:rsid w:val="00246CDA"/>
    <w:rsid w:val="00252828"/>
    <w:rsid w:val="00263E1F"/>
    <w:rsid w:val="00264D2B"/>
    <w:rsid w:val="00267093"/>
    <w:rsid w:val="00270334"/>
    <w:rsid w:val="00270DBB"/>
    <w:rsid w:val="00274F83"/>
    <w:rsid w:val="00275224"/>
    <w:rsid w:val="00275D39"/>
    <w:rsid w:val="002771D4"/>
    <w:rsid w:val="002822FF"/>
    <w:rsid w:val="00283BFA"/>
    <w:rsid w:val="00283EC7"/>
    <w:rsid w:val="00286D87"/>
    <w:rsid w:val="002873B8"/>
    <w:rsid w:val="00287F2C"/>
    <w:rsid w:val="00294743"/>
    <w:rsid w:val="002A2E63"/>
    <w:rsid w:val="002A313F"/>
    <w:rsid w:val="002A4256"/>
    <w:rsid w:val="002A4B8D"/>
    <w:rsid w:val="002A5813"/>
    <w:rsid w:val="002A6EAA"/>
    <w:rsid w:val="002A7D2B"/>
    <w:rsid w:val="002B1641"/>
    <w:rsid w:val="002B18BE"/>
    <w:rsid w:val="002B5015"/>
    <w:rsid w:val="002B6226"/>
    <w:rsid w:val="002C6423"/>
    <w:rsid w:val="002C6915"/>
    <w:rsid w:val="002C7487"/>
    <w:rsid w:val="002D0591"/>
    <w:rsid w:val="002D6148"/>
    <w:rsid w:val="002D6A15"/>
    <w:rsid w:val="002D6D48"/>
    <w:rsid w:val="002D7CCC"/>
    <w:rsid w:val="002E0536"/>
    <w:rsid w:val="002E1144"/>
    <w:rsid w:val="002E162C"/>
    <w:rsid w:val="002E19BB"/>
    <w:rsid w:val="002E2608"/>
    <w:rsid w:val="002E6CFE"/>
    <w:rsid w:val="002E71D0"/>
    <w:rsid w:val="002F1BAE"/>
    <w:rsid w:val="002F25B8"/>
    <w:rsid w:val="002F3551"/>
    <w:rsid w:val="002F490C"/>
    <w:rsid w:val="0030027E"/>
    <w:rsid w:val="00300F97"/>
    <w:rsid w:val="00310B3A"/>
    <w:rsid w:val="003129ED"/>
    <w:rsid w:val="0031322C"/>
    <w:rsid w:val="00316BAB"/>
    <w:rsid w:val="00317BA9"/>
    <w:rsid w:val="003208F4"/>
    <w:rsid w:val="00320CC6"/>
    <w:rsid w:val="00321D05"/>
    <w:rsid w:val="003232EF"/>
    <w:rsid w:val="00325A6A"/>
    <w:rsid w:val="0032688A"/>
    <w:rsid w:val="00330583"/>
    <w:rsid w:val="0033186D"/>
    <w:rsid w:val="00331D87"/>
    <w:rsid w:val="00334102"/>
    <w:rsid w:val="0033564D"/>
    <w:rsid w:val="003372D3"/>
    <w:rsid w:val="00344C81"/>
    <w:rsid w:val="00345166"/>
    <w:rsid w:val="00347585"/>
    <w:rsid w:val="00351171"/>
    <w:rsid w:val="00351AF1"/>
    <w:rsid w:val="00351F8D"/>
    <w:rsid w:val="00351FA0"/>
    <w:rsid w:val="00354B38"/>
    <w:rsid w:val="00355897"/>
    <w:rsid w:val="00356A08"/>
    <w:rsid w:val="00357EFC"/>
    <w:rsid w:val="003610E3"/>
    <w:rsid w:val="00365088"/>
    <w:rsid w:val="00365C2D"/>
    <w:rsid w:val="003718BC"/>
    <w:rsid w:val="00371BA5"/>
    <w:rsid w:val="00371CF8"/>
    <w:rsid w:val="00373D87"/>
    <w:rsid w:val="003742E6"/>
    <w:rsid w:val="00374448"/>
    <w:rsid w:val="00381419"/>
    <w:rsid w:val="00381E69"/>
    <w:rsid w:val="00382CDC"/>
    <w:rsid w:val="0038365D"/>
    <w:rsid w:val="00384DCD"/>
    <w:rsid w:val="0039264C"/>
    <w:rsid w:val="00396BC6"/>
    <w:rsid w:val="003974AD"/>
    <w:rsid w:val="00397B7C"/>
    <w:rsid w:val="003A178A"/>
    <w:rsid w:val="003A29CC"/>
    <w:rsid w:val="003A37CC"/>
    <w:rsid w:val="003B1E91"/>
    <w:rsid w:val="003B2BA6"/>
    <w:rsid w:val="003B32A5"/>
    <w:rsid w:val="003B410D"/>
    <w:rsid w:val="003B45BB"/>
    <w:rsid w:val="003B4955"/>
    <w:rsid w:val="003B61C2"/>
    <w:rsid w:val="003B68FA"/>
    <w:rsid w:val="003B715C"/>
    <w:rsid w:val="003B7396"/>
    <w:rsid w:val="003C2A5D"/>
    <w:rsid w:val="003C2C7D"/>
    <w:rsid w:val="003C2F85"/>
    <w:rsid w:val="003C3F92"/>
    <w:rsid w:val="003D1585"/>
    <w:rsid w:val="003D2194"/>
    <w:rsid w:val="003D23B3"/>
    <w:rsid w:val="003D7888"/>
    <w:rsid w:val="003E1AED"/>
    <w:rsid w:val="003E2AED"/>
    <w:rsid w:val="003E3258"/>
    <w:rsid w:val="003E37C5"/>
    <w:rsid w:val="003E521B"/>
    <w:rsid w:val="003E5463"/>
    <w:rsid w:val="003E5A4E"/>
    <w:rsid w:val="003E677C"/>
    <w:rsid w:val="003E6A2E"/>
    <w:rsid w:val="003E6F18"/>
    <w:rsid w:val="003E6F7D"/>
    <w:rsid w:val="003F06E9"/>
    <w:rsid w:val="003F0B1E"/>
    <w:rsid w:val="003F0C24"/>
    <w:rsid w:val="003F2248"/>
    <w:rsid w:val="003F2CC4"/>
    <w:rsid w:val="003F33DE"/>
    <w:rsid w:val="003F5004"/>
    <w:rsid w:val="003F5B99"/>
    <w:rsid w:val="003F7636"/>
    <w:rsid w:val="004021B1"/>
    <w:rsid w:val="00402953"/>
    <w:rsid w:val="004035F6"/>
    <w:rsid w:val="00403F77"/>
    <w:rsid w:val="004046F9"/>
    <w:rsid w:val="0040777E"/>
    <w:rsid w:val="0041077F"/>
    <w:rsid w:val="00414DCC"/>
    <w:rsid w:val="00416E7C"/>
    <w:rsid w:val="00420E76"/>
    <w:rsid w:val="004245B7"/>
    <w:rsid w:val="004259D7"/>
    <w:rsid w:val="00426BD4"/>
    <w:rsid w:val="00430289"/>
    <w:rsid w:val="00432C22"/>
    <w:rsid w:val="0043794E"/>
    <w:rsid w:val="0044087D"/>
    <w:rsid w:val="00445003"/>
    <w:rsid w:val="00447356"/>
    <w:rsid w:val="004500E8"/>
    <w:rsid w:val="00455662"/>
    <w:rsid w:val="00455F2D"/>
    <w:rsid w:val="004570D7"/>
    <w:rsid w:val="004613EC"/>
    <w:rsid w:val="00462D43"/>
    <w:rsid w:val="00463C1A"/>
    <w:rsid w:val="00467ECA"/>
    <w:rsid w:val="00474571"/>
    <w:rsid w:val="004774BB"/>
    <w:rsid w:val="004808BC"/>
    <w:rsid w:val="00484D78"/>
    <w:rsid w:val="00486DAA"/>
    <w:rsid w:val="00487E30"/>
    <w:rsid w:val="00491FE3"/>
    <w:rsid w:val="00494BCC"/>
    <w:rsid w:val="00495519"/>
    <w:rsid w:val="004958F0"/>
    <w:rsid w:val="00495B9B"/>
    <w:rsid w:val="004A6781"/>
    <w:rsid w:val="004A6986"/>
    <w:rsid w:val="004B1158"/>
    <w:rsid w:val="004B7A45"/>
    <w:rsid w:val="004C0482"/>
    <w:rsid w:val="004C1137"/>
    <w:rsid w:val="004C2824"/>
    <w:rsid w:val="004C2A5A"/>
    <w:rsid w:val="004C58FB"/>
    <w:rsid w:val="004D24D9"/>
    <w:rsid w:val="004D2532"/>
    <w:rsid w:val="004D25EC"/>
    <w:rsid w:val="004D5E02"/>
    <w:rsid w:val="004D75AC"/>
    <w:rsid w:val="004E0566"/>
    <w:rsid w:val="004E20F7"/>
    <w:rsid w:val="004E55C3"/>
    <w:rsid w:val="004E5664"/>
    <w:rsid w:val="004E6521"/>
    <w:rsid w:val="004E7B4F"/>
    <w:rsid w:val="004E7C00"/>
    <w:rsid w:val="004E7EC2"/>
    <w:rsid w:val="004F098B"/>
    <w:rsid w:val="004F3DBA"/>
    <w:rsid w:val="004F70D1"/>
    <w:rsid w:val="00502CC8"/>
    <w:rsid w:val="00503BDF"/>
    <w:rsid w:val="0050527A"/>
    <w:rsid w:val="005104F7"/>
    <w:rsid w:val="00510D05"/>
    <w:rsid w:val="00515987"/>
    <w:rsid w:val="00516641"/>
    <w:rsid w:val="005226DE"/>
    <w:rsid w:val="005265C9"/>
    <w:rsid w:val="00535725"/>
    <w:rsid w:val="00536353"/>
    <w:rsid w:val="00537D84"/>
    <w:rsid w:val="005409EC"/>
    <w:rsid w:val="00544B4D"/>
    <w:rsid w:val="005523E8"/>
    <w:rsid w:val="00552C81"/>
    <w:rsid w:val="00552D0B"/>
    <w:rsid w:val="00554BB4"/>
    <w:rsid w:val="00554D49"/>
    <w:rsid w:val="00555EB3"/>
    <w:rsid w:val="005625C5"/>
    <w:rsid w:val="00562833"/>
    <w:rsid w:val="00563B89"/>
    <w:rsid w:val="00563BFC"/>
    <w:rsid w:val="00566000"/>
    <w:rsid w:val="005703AC"/>
    <w:rsid w:val="005763EA"/>
    <w:rsid w:val="00581B52"/>
    <w:rsid w:val="00582086"/>
    <w:rsid w:val="00584018"/>
    <w:rsid w:val="00593A88"/>
    <w:rsid w:val="005968A9"/>
    <w:rsid w:val="00597781"/>
    <w:rsid w:val="00597CE9"/>
    <w:rsid w:val="005A0708"/>
    <w:rsid w:val="005A2FD1"/>
    <w:rsid w:val="005A3B6C"/>
    <w:rsid w:val="005A3D80"/>
    <w:rsid w:val="005A7433"/>
    <w:rsid w:val="005B18D5"/>
    <w:rsid w:val="005B32D0"/>
    <w:rsid w:val="005B344B"/>
    <w:rsid w:val="005B6B41"/>
    <w:rsid w:val="005B6E87"/>
    <w:rsid w:val="005B7355"/>
    <w:rsid w:val="005B73EF"/>
    <w:rsid w:val="005B7703"/>
    <w:rsid w:val="005D09C2"/>
    <w:rsid w:val="005D1273"/>
    <w:rsid w:val="005D1A7B"/>
    <w:rsid w:val="005D402A"/>
    <w:rsid w:val="005D499A"/>
    <w:rsid w:val="005D58FD"/>
    <w:rsid w:val="005D5CFA"/>
    <w:rsid w:val="005E35C4"/>
    <w:rsid w:val="005E3DAC"/>
    <w:rsid w:val="005E48CC"/>
    <w:rsid w:val="005E4C2C"/>
    <w:rsid w:val="005E797B"/>
    <w:rsid w:val="005F16A7"/>
    <w:rsid w:val="005F28E8"/>
    <w:rsid w:val="005F4F28"/>
    <w:rsid w:val="005F520E"/>
    <w:rsid w:val="005F6668"/>
    <w:rsid w:val="00601E8C"/>
    <w:rsid w:val="00602923"/>
    <w:rsid w:val="00610542"/>
    <w:rsid w:val="00610B18"/>
    <w:rsid w:val="00610F9D"/>
    <w:rsid w:val="0061152D"/>
    <w:rsid w:val="00613FBD"/>
    <w:rsid w:val="006213BA"/>
    <w:rsid w:val="00626367"/>
    <w:rsid w:val="006303E9"/>
    <w:rsid w:val="00630788"/>
    <w:rsid w:val="0063216A"/>
    <w:rsid w:val="006345B6"/>
    <w:rsid w:val="0063499A"/>
    <w:rsid w:val="00635291"/>
    <w:rsid w:val="00636AD7"/>
    <w:rsid w:val="00637401"/>
    <w:rsid w:val="00641849"/>
    <w:rsid w:val="00642F00"/>
    <w:rsid w:val="00643687"/>
    <w:rsid w:val="00645BE4"/>
    <w:rsid w:val="0065062D"/>
    <w:rsid w:val="00652001"/>
    <w:rsid w:val="00654D7A"/>
    <w:rsid w:val="0066139C"/>
    <w:rsid w:val="00661753"/>
    <w:rsid w:val="00663112"/>
    <w:rsid w:val="00666221"/>
    <w:rsid w:val="006667DB"/>
    <w:rsid w:val="00667411"/>
    <w:rsid w:val="0067132F"/>
    <w:rsid w:val="00673002"/>
    <w:rsid w:val="006731F4"/>
    <w:rsid w:val="00674216"/>
    <w:rsid w:val="00674DB2"/>
    <w:rsid w:val="006750E1"/>
    <w:rsid w:val="00677402"/>
    <w:rsid w:val="00681245"/>
    <w:rsid w:val="006832DB"/>
    <w:rsid w:val="00683D05"/>
    <w:rsid w:val="00684364"/>
    <w:rsid w:val="0069264D"/>
    <w:rsid w:val="0069401B"/>
    <w:rsid w:val="00694CCF"/>
    <w:rsid w:val="006953F8"/>
    <w:rsid w:val="006957C1"/>
    <w:rsid w:val="006A0A88"/>
    <w:rsid w:val="006A260C"/>
    <w:rsid w:val="006A3A8E"/>
    <w:rsid w:val="006B0989"/>
    <w:rsid w:val="006B0A08"/>
    <w:rsid w:val="006B2D99"/>
    <w:rsid w:val="006B6B61"/>
    <w:rsid w:val="006B728F"/>
    <w:rsid w:val="006B76BC"/>
    <w:rsid w:val="006C0939"/>
    <w:rsid w:val="006C157C"/>
    <w:rsid w:val="006C2162"/>
    <w:rsid w:val="006C26E9"/>
    <w:rsid w:val="006C3413"/>
    <w:rsid w:val="006C4524"/>
    <w:rsid w:val="006C4B70"/>
    <w:rsid w:val="006C50A3"/>
    <w:rsid w:val="006D4EAD"/>
    <w:rsid w:val="006D617E"/>
    <w:rsid w:val="006E0D8A"/>
    <w:rsid w:val="006E24CA"/>
    <w:rsid w:val="006E4750"/>
    <w:rsid w:val="006E52E5"/>
    <w:rsid w:val="006E5C7C"/>
    <w:rsid w:val="006E5D3D"/>
    <w:rsid w:val="006E7CB8"/>
    <w:rsid w:val="006F0924"/>
    <w:rsid w:val="006F0A7A"/>
    <w:rsid w:val="006F1E61"/>
    <w:rsid w:val="006F27B0"/>
    <w:rsid w:val="006F4167"/>
    <w:rsid w:val="006F75F5"/>
    <w:rsid w:val="006F7941"/>
    <w:rsid w:val="00701466"/>
    <w:rsid w:val="00701EF0"/>
    <w:rsid w:val="007031A1"/>
    <w:rsid w:val="00703D9B"/>
    <w:rsid w:val="0070429D"/>
    <w:rsid w:val="007050AC"/>
    <w:rsid w:val="00716FF9"/>
    <w:rsid w:val="007171A8"/>
    <w:rsid w:val="007176E6"/>
    <w:rsid w:val="00721517"/>
    <w:rsid w:val="007218C9"/>
    <w:rsid w:val="00725188"/>
    <w:rsid w:val="00727DCD"/>
    <w:rsid w:val="00734878"/>
    <w:rsid w:val="00734FE4"/>
    <w:rsid w:val="0073763A"/>
    <w:rsid w:val="007421D8"/>
    <w:rsid w:val="00745560"/>
    <w:rsid w:val="00746823"/>
    <w:rsid w:val="007511A6"/>
    <w:rsid w:val="00757A02"/>
    <w:rsid w:val="00757DF8"/>
    <w:rsid w:val="00757E5B"/>
    <w:rsid w:val="0076088D"/>
    <w:rsid w:val="0076180B"/>
    <w:rsid w:val="00763F93"/>
    <w:rsid w:val="0077045F"/>
    <w:rsid w:val="0077090A"/>
    <w:rsid w:val="00771627"/>
    <w:rsid w:val="0077227E"/>
    <w:rsid w:val="00772E23"/>
    <w:rsid w:val="00772FF5"/>
    <w:rsid w:val="00777C53"/>
    <w:rsid w:val="00780C6B"/>
    <w:rsid w:val="00780E7A"/>
    <w:rsid w:val="00781894"/>
    <w:rsid w:val="00781C3B"/>
    <w:rsid w:val="0078668F"/>
    <w:rsid w:val="007A0289"/>
    <w:rsid w:val="007A2980"/>
    <w:rsid w:val="007A3530"/>
    <w:rsid w:val="007A39D6"/>
    <w:rsid w:val="007A4A9A"/>
    <w:rsid w:val="007A62A6"/>
    <w:rsid w:val="007A73EE"/>
    <w:rsid w:val="007B4804"/>
    <w:rsid w:val="007B72F3"/>
    <w:rsid w:val="007C1B9D"/>
    <w:rsid w:val="007C26FC"/>
    <w:rsid w:val="007C651F"/>
    <w:rsid w:val="007C78FA"/>
    <w:rsid w:val="007D1663"/>
    <w:rsid w:val="007D1A04"/>
    <w:rsid w:val="007D3C32"/>
    <w:rsid w:val="007D5421"/>
    <w:rsid w:val="007D5536"/>
    <w:rsid w:val="007D6FD8"/>
    <w:rsid w:val="007D763C"/>
    <w:rsid w:val="007D7AA7"/>
    <w:rsid w:val="007E2F7B"/>
    <w:rsid w:val="007E3B27"/>
    <w:rsid w:val="007E4AE8"/>
    <w:rsid w:val="007E4FA5"/>
    <w:rsid w:val="007E7797"/>
    <w:rsid w:val="007F3435"/>
    <w:rsid w:val="007F3915"/>
    <w:rsid w:val="007F3CC4"/>
    <w:rsid w:val="007F3EC7"/>
    <w:rsid w:val="007F403B"/>
    <w:rsid w:val="00800CAC"/>
    <w:rsid w:val="00802A85"/>
    <w:rsid w:val="00810FB3"/>
    <w:rsid w:val="00811773"/>
    <w:rsid w:val="00813A73"/>
    <w:rsid w:val="0081482B"/>
    <w:rsid w:val="00815B8B"/>
    <w:rsid w:val="00822237"/>
    <w:rsid w:val="0082383A"/>
    <w:rsid w:val="008249BA"/>
    <w:rsid w:val="00826F2D"/>
    <w:rsid w:val="008349A4"/>
    <w:rsid w:val="00835C9B"/>
    <w:rsid w:val="00836814"/>
    <w:rsid w:val="00842DA5"/>
    <w:rsid w:val="00852056"/>
    <w:rsid w:val="00853EBA"/>
    <w:rsid w:val="00861E88"/>
    <w:rsid w:val="00862720"/>
    <w:rsid w:val="00862F43"/>
    <w:rsid w:val="0087079C"/>
    <w:rsid w:val="008737BD"/>
    <w:rsid w:val="00874EBD"/>
    <w:rsid w:val="008754C6"/>
    <w:rsid w:val="0088091F"/>
    <w:rsid w:val="00880B4C"/>
    <w:rsid w:val="00883063"/>
    <w:rsid w:val="00883468"/>
    <w:rsid w:val="00884223"/>
    <w:rsid w:val="00885137"/>
    <w:rsid w:val="00885708"/>
    <w:rsid w:val="00886AA4"/>
    <w:rsid w:val="008877E6"/>
    <w:rsid w:val="00887FA9"/>
    <w:rsid w:val="00890B80"/>
    <w:rsid w:val="0089184C"/>
    <w:rsid w:val="008920A1"/>
    <w:rsid w:val="008942F2"/>
    <w:rsid w:val="00894B15"/>
    <w:rsid w:val="00894F4C"/>
    <w:rsid w:val="008953DC"/>
    <w:rsid w:val="00895AF7"/>
    <w:rsid w:val="008A3982"/>
    <w:rsid w:val="008A39DC"/>
    <w:rsid w:val="008A3F41"/>
    <w:rsid w:val="008A483F"/>
    <w:rsid w:val="008A6F61"/>
    <w:rsid w:val="008A76F4"/>
    <w:rsid w:val="008B065D"/>
    <w:rsid w:val="008B2743"/>
    <w:rsid w:val="008B72D7"/>
    <w:rsid w:val="008B770F"/>
    <w:rsid w:val="008B7DA4"/>
    <w:rsid w:val="008C24F8"/>
    <w:rsid w:val="008C3193"/>
    <w:rsid w:val="008C5A54"/>
    <w:rsid w:val="008D1E63"/>
    <w:rsid w:val="008D325E"/>
    <w:rsid w:val="008E3A38"/>
    <w:rsid w:val="008E5BF7"/>
    <w:rsid w:val="008E6FF4"/>
    <w:rsid w:val="008F18BB"/>
    <w:rsid w:val="008F2FFC"/>
    <w:rsid w:val="008F470A"/>
    <w:rsid w:val="008F5489"/>
    <w:rsid w:val="008F6563"/>
    <w:rsid w:val="0090165D"/>
    <w:rsid w:val="009017F8"/>
    <w:rsid w:val="0090256D"/>
    <w:rsid w:val="00902B59"/>
    <w:rsid w:val="00903A87"/>
    <w:rsid w:val="009042AF"/>
    <w:rsid w:val="0090490A"/>
    <w:rsid w:val="00904AEB"/>
    <w:rsid w:val="0090500D"/>
    <w:rsid w:val="00905279"/>
    <w:rsid w:val="00907E2D"/>
    <w:rsid w:val="009139AE"/>
    <w:rsid w:val="00913AE4"/>
    <w:rsid w:val="0091401E"/>
    <w:rsid w:val="009141AD"/>
    <w:rsid w:val="0091694E"/>
    <w:rsid w:val="009176FC"/>
    <w:rsid w:val="00917736"/>
    <w:rsid w:val="0092039D"/>
    <w:rsid w:val="00920C65"/>
    <w:rsid w:val="00921688"/>
    <w:rsid w:val="009219C7"/>
    <w:rsid w:val="009224A6"/>
    <w:rsid w:val="00922D7C"/>
    <w:rsid w:val="00922F4C"/>
    <w:rsid w:val="0092536E"/>
    <w:rsid w:val="00927466"/>
    <w:rsid w:val="00927AE8"/>
    <w:rsid w:val="00936E16"/>
    <w:rsid w:val="0094248A"/>
    <w:rsid w:val="0094267A"/>
    <w:rsid w:val="00944F5B"/>
    <w:rsid w:val="00945153"/>
    <w:rsid w:val="00945ED4"/>
    <w:rsid w:val="00946C86"/>
    <w:rsid w:val="00946F1E"/>
    <w:rsid w:val="00950917"/>
    <w:rsid w:val="00952D77"/>
    <w:rsid w:val="0095585B"/>
    <w:rsid w:val="009564F1"/>
    <w:rsid w:val="00962546"/>
    <w:rsid w:val="00964C9D"/>
    <w:rsid w:val="00965022"/>
    <w:rsid w:val="009656C1"/>
    <w:rsid w:val="00966C8D"/>
    <w:rsid w:val="00966DD7"/>
    <w:rsid w:val="00966ED1"/>
    <w:rsid w:val="00967F77"/>
    <w:rsid w:val="00970C55"/>
    <w:rsid w:val="00974646"/>
    <w:rsid w:val="00977850"/>
    <w:rsid w:val="009832A9"/>
    <w:rsid w:val="009833A3"/>
    <w:rsid w:val="00983BD1"/>
    <w:rsid w:val="0098636B"/>
    <w:rsid w:val="00986A41"/>
    <w:rsid w:val="0099161F"/>
    <w:rsid w:val="0099204C"/>
    <w:rsid w:val="00993559"/>
    <w:rsid w:val="00997501"/>
    <w:rsid w:val="009A2DDF"/>
    <w:rsid w:val="009A3AD5"/>
    <w:rsid w:val="009A4279"/>
    <w:rsid w:val="009A529B"/>
    <w:rsid w:val="009A6661"/>
    <w:rsid w:val="009A675F"/>
    <w:rsid w:val="009A6D40"/>
    <w:rsid w:val="009B2BFF"/>
    <w:rsid w:val="009B5A02"/>
    <w:rsid w:val="009C0A6B"/>
    <w:rsid w:val="009C2386"/>
    <w:rsid w:val="009C39ED"/>
    <w:rsid w:val="009D152E"/>
    <w:rsid w:val="009D3CB4"/>
    <w:rsid w:val="009D44C2"/>
    <w:rsid w:val="009D640D"/>
    <w:rsid w:val="009E1186"/>
    <w:rsid w:val="009E2654"/>
    <w:rsid w:val="009E5056"/>
    <w:rsid w:val="009F0068"/>
    <w:rsid w:val="009F0E75"/>
    <w:rsid w:val="009F13DE"/>
    <w:rsid w:val="009F45E5"/>
    <w:rsid w:val="00A01440"/>
    <w:rsid w:val="00A01EEF"/>
    <w:rsid w:val="00A03B88"/>
    <w:rsid w:val="00A05FBA"/>
    <w:rsid w:val="00A072C0"/>
    <w:rsid w:val="00A077C6"/>
    <w:rsid w:val="00A07CFC"/>
    <w:rsid w:val="00A1003B"/>
    <w:rsid w:val="00A10CC6"/>
    <w:rsid w:val="00A12C38"/>
    <w:rsid w:val="00A13888"/>
    <w:rsid w:val="00A13D55"/>
    <w:rsid w:val="00A20187"/>
    <w:rsid w:val="00A239F8"/>
    <w:rsid w:val="00A328DE"/>
    <w:rsid w:val="00A32C2A"/>
    <w:rsid w:val="00A32F0C"/>
    <w:rsid w:val="00A37255"/>
    <w:rsid w:val="00A3731F"/>
    <w:rsid w:val="00A37DC1"/>
    <w:rsid w:val="00A40990"/>
    <w:rsid w:val="00A40B26"/>
    <w:rsid w:val="00A41687"/>
    <w:rsid w:val="00A426D5"/>
    <w:rsid w:val="00A42709"/>
    <w:rsid w:val="00A42E1A"/>
    <w:rsid w:val="00A42F5C"/>
    <w:rsid w:val="00A47CC9"/>
    <w:rsid w:val="00A56696"/>
    <w:rsid w:val="00A567B7"/>
    <w:rsid w:val="00A61F3C"/>
    <w:rsid w:val="00A64809"/>
    <w:rsid w:val="00A652F3"/>
    <w:rsid w:val="00A6640D"/>
    <w:rsid w:val="00A66E0C"/>
    <w:rsid w:val="00A727D2"/>
    <w:rsid w:val="00A73A7E"/>
    <w:rsid w:val="00A774F9"/>
    <w:rsid w:val="00A77A83"/>
    <w:rsid w:val="00A82F49"/>
    <w:rsid w:val="00A83CB3"/>
    <w:rsid w:val="00A850D6"/>
    <w:rsid w:val="00A85269"/>
    <w:rsid w:val="00A901E9"/>
    <w:rsid w:val="00A9063C"/>
    <w:rsid w:val="00A91684"/>
    <w:rsid w:val="00A91A56"/>
    <w:rsid w:val="00A9297F"/>
    <w:rsid w:val="00A9445F"/>
    <w:rsid w:val="00AA022F"/>
    <w:rsid w:val="00AA173B"/>
    <w:rsid w:val="00AA35E0"/>
    <w:rsid w:val="00AA65A6"/>
    <w:rsid w:val="00AA6806"/>
    <w:rsid w:val="00AA6F60"/>
    <w:rsid w:val="00AB1367"/>
    <w:rsid w:val="00AB351D"/>
    <w:rsid w:val="00AB463F"/>
    <w:rsid w:val="00AB532C"/>
    <w:rsid w:val="00AB6352"/>
    <w:rsid w:val="00AB6360"/>
    <w:rsid w:val="00AB7670"/>
    <w:rsid w:val="00AB794A"/>
    <w:rsid w:val="00AC09C6"/>
    <w:rsid w:val="00AC0E50"/>
    <w:rsid w:val="00AC2A4E"/>
    <w:rsid w:val="00AC2E13"/>
    <w:rsid w:val="00AC3BAB"/>
    <w:rsid w:val="00AC3D06"/>
    <w:rsid w:val="00AD0013"/>
    <w:rsid w:val="00AD0405"/>
    <w:rsid w:val="00AD6C0D"/>
    <w:rsid w:val="00AD6EA5"/>
    <w:rsid w:val="00AE027E"/>
    <w:rsid w:val="00AE0733"/>
    <w:rsid w:val="00AE5651"/>
    <w:rsid w:val="00AE6B75"/>
    <w:rsid w:val="00AE75C5"/>
    <w:rsid w:val="00AF13AD"/>
    <w:rsid w:val="00AF3D6A"/>
    <w:rsid w:val="00AF414E"/>
    <w:rsid w:val="00AF69B7"/>
    <w:rsid w:val="00B013ED"/>
    <w:rsid w:val="00B03158"/>
    <w:rsid w:val="00B05AB6"/>
    <w:rsid w:val="00B06577"/>
    <w:rsid w:val="00B07373"/>
    <w:rsid w:val="00B078CC"/>
    <w:rsid w:val="00B10D20"/>
    <w:rsid w:val="00B141F9"/>
    <w:rsid w:val="00B15793"/>
    <w:rsid w:val="00B15875"/>
    <w:rsid w:val="00B22C98"/>
    <w:rsid w:val="00B238BF"/>
    <w:rsid w:val="00B24196"/>
    <w:rsid w:val="00B312F8"/>
    <w:rsid w:val="00B31903"/>
    <w:rsid w:val="00B32240"/>
    <w:rsid w:val="00B35422"/>
    <w:rsid w:val="00B35F50"/>
    <w:rsid w:val="00B3689E"/>
    <w:rsid w:val="00B40786"/>
    <w:rsid w:val="00B42206"/>
    <w:rsid w:val="00B42C19"/>
    <w:rsid w:val="00B43118"/>
    <w:rsid w:val="00B44473"/>
    <w:rsid w:val="00B473E9"/>
    <w:rsid w:val="00B51031"/>
    <w:rsid w:val="00B57CCF"/>
    <w:rsid w:val="00B62E87"/>
    <w:rsid w:val="00B64C34"/>
    <w:rsid w:val="00B658BB"/>
    <w:rsid w:val="00B670D3"/>
    <w:rsid w:val="00B673C7"/>
    <w:rsid w:val="00B7052D"/>
    <w:rsid w:val="00B7344F"/>
    <w:rsid w:val="00B7443C"/>
    <w:rsid w:val="00B80606"/>
    <w:rsid w:val="00B86BE4"/>
    <w:rsid w:val="00B8764F"/>
    <w:rsid w:val="00B91FCD"/>
    <w:rsid w:val="00B9226D"/>
    <w:rsid w:val="00B93617"/>
    <w:rsid w:val="00B96270"/>
    <w:rsid w:val="00B96FC0"/>
    <w:rsid w:val="00B9711C"/>
    <w:rsid w:val="00B97394"/>
    <w:rsid w:val="00B97D26"/>
    <w:rsid w:val="00BA1062"/>
    <w:rsid w:val="00BA3376"/>
    <w:rsid w:val="00BA44CD"/>
    <w:rsid w:val="00BA63D9"/>
    <w:rsid w:val="00BB056F"/>
    <w:rsid w:val="00BB4AC1"/>
    <w:rsid w:val="00BB6054"/>
    <w:rsid w:val="00BB6B4C"/>
    <w:rsid w:val="00BC2740"/>
    <w:rsid w:val="00BC2E82"/>
    <w:rsid w:val="00BC56C5"/>
    <w:rsid w:val="00BC5CDF"/>
    <w:rsid w:val="00BD52B9"/>
    <w:rsid w:val="00BE285C"/>
    <w:rsid w:val="00BE2E40"/>
    <w:rsid w:val="00BE3051"/>
    <w:rsid w:val="00BE5292"/>
    <w:rsid w:val="00BE693C"/>
    <w:rsid w:val="00BF07B3"/>
    <w:rsid w:val="00BF2A0F"/>
    <w:rsid w:val="00BF4901"/>
    <w:rsid w:val="00BF4C61"/>
    <w:rsid w:val="00BF5624"/>
    <w:rsid w:val="00C051A5"/>
    <w:rsid w:val="00C05F9B"/>
    <w:rsid w:val="00C075FF"/>
    <w:rsid w:val="00C11C0D"/>
    <w:rsid w:val="00C13AA1"/>
    <w:rsid w:val="00C142A6"/>
    <w:rsid w:val="00C1433E"/>
    <w:rsid w:val="00C17318"/>
    <w:rsid w:val="00C17569"/>
    <w:rsid w:val="00C205C6"/>
    <w:rsid w:val="00C21C9C"/>
    <w:rsid w:val="00C2365C"/>
    <w:rsid w:val="00C2556B"/>
    <w:rsid w:val="00C27B7A"/>
    <w:rsid w:val="00C30B38"/>
    <w:rsid w:val="00C33DF1"/>
    <w:rsid w:val="00C3471B"/>
    <w:rsid w:val="00C34F39"/>
    <w:rsid w:val="00C360B4"/>
    <w:rsid w:val="00C41E26"/>
    <w:rsid w:val="00C42829"/>
    <w:rsid w:val="00C42F94"/>
    <w:rsid w:val="00C440FB"/>
    <w:rsid w:val="00C44750"/>
    <w:rsid w:val="00C469B5"/>
    <w:rsid w:val="00C47B67"/>
    <w:rsid w:val="00C51774"/>
    <w:rsid w:val="00C52150"/>
    <w:rsid w:val="00C525E8"/>
    <w:rsid w:val="00C5635F"/>
    <w:rsid w:val="00C5753E"/>
    <w:rsid w:val="00C603A2"/>
    <w:rsid w:val="00C64977"/>
    <w:rsid w:val="00C65263"/>
    <w:rsid w:val="00C66CDE"/>
    <w:rsid w:val="00C672DD"/>
    <w:rsid w:val="00C7233C"/>
    <w:rsid w:val="00C730EC"/>
    <w:rsid w:val="00C73533"/>
    <w:rsid w:val="00C758D8"/>
    <w:rsid w:val="00C80021"/>
    <w:rsid w:val="00C80966"/>
    <w:rsid w:val="00C82B6B"/>
    <w:rsid w:val="00C830F3"/>
    <w:rsid w:val="00C8316F"/>
    <w:rsid w:val="00C845D7"/>
    <w:rsid w:val="00C9224E"/>
    <w:rsid w:val="00C926B1"/>
    <w:rsid w:val="00C94170"/>
    <w:rsid w:val="00C94271"/>
    <w:rsid w:val="00C95A09"/>
    <w:rsid w:val="00CA17E9"/>
    <w:rsid w:val="00CA1DA3"/>
    <w:rsid w:val="00CA2B92"/>
    <w:rsid w:val="00CA401B"/>
    <w:rsid w:val="00CA45AA"/>
    <w:rsid w:val="00CA4B98"/>
    <w:rsid w:val="00CA6286"/>
    <w:rsid w:val="00CB4E8B"/>
    <w:rsid w:val="00CB5FD7"/>
    <w:rsid w:val="00CC01C1"/>
    <w:rsid w:val="00CC4ECE"/>
    <w:rsid w:val="00CC51DC"/>
    <w:rsid w:val="00CC5A2B"/>
    <w:rsid w:val="00CC60E6"/>
    <w:rsid w:val="00CD091B"/>
    <w:rsid w:val="00CD1BA3"/>
    <w:rsid w:val="00CD2DF6"/>
    <w:rsid w:val="00CD4C16"/>
    <w:rsid w:val="00CE2E4C"/>
    <w:rsid w:val="00CE4343"/>
    <w:rsid w:val="00CE491A"/>
    <w:rsid w:val="00CF24EF"/>
    <w:rsid w:val="00CF3514"/>
    <w:rsid w:val="00CF46AC"/>
    <w:rsid w:val="00CF6D56"/>
    <w:rsid w:val="00CF7EC0"/>
    <w:rsid w:val="00D04472"/>
    <w:rsid w:val="00D045D2"/>
    <w:rsid w:val="00D04C71"/>
    <w:rsid w:val="00D05446"/>
    <w:rsid w:val="00D056BD"/>
    <w:rsid w:val="00D06EBF"/>
    <w:rsid w:val="00D1073B"/>
    <w:rsid w:val="00D11FD8"/>
    <w:rsid w:val="00D1296F"/>
    <w:rsid w:val="00D13BF0"/>
    <w:rsid w:val="00D14AB2"/>
    <w:rsid w:val="00D150E8"/>
    <w:rsid w:val="00D15CCD"/>
    <w:rsid w:val="00D16305"/>
    <w:rsid w:val="00D1790C"/>
    <w:rsid w:val="00D2056B"/>
    <w:rsid w:val="00D30EC6"/>
    <w:rsid w:val="00D32830"/>
    <w:rsid w:val="00D3548F"/>
    <w:rsid w:val="00D36687"/>
    <w:rsid w:val="00D36754"/>
    <w:rsid w:val="00D415B8"/>
    <w:rsid w:val="00D430DB"/>
    <w:rsid w:val="00D4378E"/>
    <w:rsid w:val="00D44060"/>
    <w:rsid w:val="00D4448A"/>
    <w:rsid w:val="00D444E7"/>
    <w:rsid w:val="00D467A3"/>
    <w:rsid w:val="00D537FF"/>
    <w:rsid w:val="00D53EA3"/>
    <w:rsid w:val="00D5462B"/>
    <w:rsid w:val="00D546A0"/>
    <w:rsid w:val="00D600A2"/>
    <w:rsid w:val="00D620C9"/>
    <w:rsid w:val="00D6325C"/>
    <w:rsid w:val="00D63DED"/>
    <w:rsid w:val="00D6454C"/>
    <w:rsid w:val="00D646B7"/>
    <w:rsid w:val="00D65EF5"/>
    <w:rsid w:val="00D6724E"/>
    <w:rsid w:val="00D716BF"/>
    <w:rsid w:val="00D72D80"/>
    <w:rsid w:val="00D73FA7"/>
    <w:rsid w:val="00D76303"/>
    <w:rsid w:val="00D811DA"/>
    <w:rsid w:val="00D82598"/>
    <w:rsid w:val="00D842CA"/>
    <w:rsid w:val="00D87556"/>
    <w:rsid w:val="00D87D4F"/>
    <w:rsid w:val="00DA1E31"/>
    <w:rsid w:val="00DA3AB9"/>
    <w:rsid w:val="00DA724A"/>
    <w:rsid w:val="00DA78BE"/>
    <w:rsid w:val="00DB018B"/>
    <w:rsid w:val="00DB1ECF"/>
    <w:rsid w:val="00DB7514"/>
    <w:rsid w:val="00DC10A2"/>
    <w:rsid w:val="00DD13FC"/>
    <w:rsid w:val="00DD2820"/>
    <w:rsid w:val="00DD44E4"/>
    <w:rsid w:val="00DD474E"/>
    <w:rsid w:val="00DD770E"/>
    <w:rsid w:val="00DD7945"/>
    <w:rsid w:val="00DE0B49"/>
    <w:rsid w:val="00DE0D4C"/>
    <w:rsid w:val="00DE186C"/>
    <w:rsid w:val="00DE338E"/>
    <w:rsid w:val="00DE6C77"/>
    <w:rsid w:val="00DE70F3"/>
    <w:rsid w:val="00DE7737"/>
    <w:rsid w:val="00DF133A"/>
    <w:rsid w:val="00DF2361"/>
    <w:rsid w:val="00DF3B60"/>
    <w:rsid w:val="00DF3DC3"/>
    <w:rsid w:val="00DF44B6"/>
    <w:rsid w:val="00DF4ABC"/>
    <w:rsid w:val="00E00412"/>
    <w:rsid w:val="00E01AE5"/>
    <w:rsid w:val="00E01D7B"/>
    <w:rsid w:val="00E02EAC"/>
    <w:rsid w:val="00E0435B"/>
    <w:rsid w:val="00E05D17"/>
    <w:rsid w:val="00E06B1A"/>
    <w:rsid w:val="00E06BC1"/>
    <w:rsid w:val="00E115FA"/>
    <w:rsid w:val="00E13847"/>
    <w:rsid w:val="00E1653B"/>
    <w:rsid w:val="00E2183E"/>
    <w:rsid w:val="00E23944"/>
    <w:rsid w:val="00E3136B"/>
    <w:rsid w:val="00E32A20"/>
    <w:rsid w:val="00E34814"/>
    <w:rsid w:val="00E36886"/>
    <w:rsid w:val="00E37DA1"/>
    <w:rsid w:val="00E4096A"/>
    <w:rsid w:val="00E4360A"/>
    <w:rsid w:val="00E44041"/>
    <w:rsid w:val="00E46214"/>
    <w:rsid w:val="00E46594"/>
    <w:rsid w:val="00E47793"/>
    <w:rsid w:val="00E50D2E"/>
    <w:rsid w:val="00E51E82"/>
    <w:rsid w:val="00E54A3F"/>
    <w:rsid w:val="00E551F4"/>
    <w:rsid w:val="00E56CA7"/>
    <w:rsid w:val="00E57228"/>
    <w:rsid w:val="00E60533"/>
    <w:rsid w:val="00E633EF"/>
    <w:rsid w:val="00E638D7"/>
    <w:rsid w:val="00E65148"/>
    <w:rsid w:val="00E66C5D"/>
    <w:rsid w:val="00E70F61"/>
    <w:rsid w:val="00E76026"/>
    <w:rsid w:val="00E77B8C"/>
    <w:rsid w:val="00E839B2"/>
    <w:rsid w:val="00E84829"/>
    <w:rsid w:val="00E85F3A"/>
    <w:rsid w:val="00E87CB5"/>
    <w:rsid w:val="00E927C9"/>
    <w:rsid w:val="00E935DF"/>
    <w:rsid w:val="00E94B2A"/>
    <w:rsid w:val="00E94D6C"/>
    <w:rsid w:val="00E95679"/>
    <w:rsid w:val="00E95EE3"/>
    <w:rsid w:val="00E967F2"/>
    <w:rsid w:val="00EA02BD"/>
    <w:rsid w:val="00EA251B"/>
    <w:rsid w:val="00EB1A0C"/>
    <w:rsid w:val="00EB28EF"/>
    <w:rsid w:val="00EB6B7A"/>
    <w:rsid w:val="00EC26A7"/>
    <w:rsid w:val="00EC5F52"/>
    <w:rsid w:val="00ED11AF"/>
    <w:rsid w:val="00ED1C43"/>
    <w:rsid w:val="00ED7F8E"/>
    <w:rsid w:val="00EE02D8"/>
    <w:rsid w:val="00EE0A72"/>
    <w:rsid w:val="00EE24CD"/>
    <w:rsid w:val="00EE4749"/>
    <w:rsid w:val="00EE6042"/>
    <w:rsid w:val="00EE6C8C"/>
    <w:rsid w:val="00EE7D31"/>
    <w:rsid w:val="00EF1F3D"/>
    <w:rsid w:val="00EF3312"/>
    <w:rsid w:val="00EF3E6C"/>
    <w:rsid w:val="00EF570D"/>
    <w:rsid w:val="00F01897"/>
    <w:rsid w:val="00F01F2F"/>
    <w:rsid w:val="00F02727"/>
    <w:rsid w:val="00F030C9"/>
    <w:rsid w:val="00F0366F"/>
    <w:rsid w:val="00F03764"/>
    <w:rsid w:val="00F07DA9"/>
    <w:rsid w:val="00F10440"/>
    <w:rsid w:val="00F152C9"/>
    <w:rsid w:val="00F158CD"/>
    <w:rsid w:val="00F176CA"/>
    <w:rsid w:val="00F2059F"/>
    <w:rsid w:val="00F21124"/>
    <w:rsid w:val="00F213D3"/>
    <w:rsid w:val="00F228D4"/>
    <w:rsid w:val="00F24D6A"/>
    <w:rsid w:val="00F27ABB"/>
    <w:rsid w:val="00F31198"/>
    <w:rsid w:val="00F31A67"/>
    <w:rsid w:val="00F344EB"/>
    <w:rsid w:val="00F34513"/>
    <w:rsid w:val="00F36031"/>
    <w:rsid w:val="00F4188E"/>
    <w:rsid w:val="00F41DFB"/>
    <w:rsid w:val="00F43DC0"/>
    <w:rsid w:val="00F4756D"/>
    <w:rsid w:val="00F544BC"/>
    <w:rsid w:val="00F54C32"/>
    <w:rsid w:val="00F54EE6"/>
    <w:rsid w:val="00F5516B"/>
    <w:rsid w:val="00F60156"/>
    <w:rsid w:val="00F6065D"/>
    <w:rsid w:val="00F60C9F"/>
    <w:rsid w:val="00F6208C"/>
    <w:rsid w:val="00F62D9C"/>
    <w:rsid w:val="00F631C8"/>
    <w:rsid w:val="00F6345F"/>
    <w:rsid w:val="00F674A9"/>
    <w:rsid w:val="00F70FA4"/>
    <w:rsid w:val="00F71D6C"/>
    <w:rsid w:val="00F752F7"/>
    <w:rsid w:val="00F75F5F"/>
    <w:rsid w:val="00F774E5"/>
    <w:rsid w:val="00F83B28"/>
    <w:rsid w:val="00F84DDE"/>
    <w:rsid w:val="00F907D9"/>
    <w:rsid w:val="00F915D6"/>
    <w:rsid w:val="00F9291F"/>
    <w:rsid w:val="00F92CE1"/>
    <w:rsid w:val="00F94A6A"/>
    <w:rsid w:val="00F9536F"/>
    <w:rsid w:val="00F960E5"/>
    <w:rsid w:val="00FA01A6"/>
    <w:rsid w:val="00FA2603"/>
    <w:rsid w:val="00FC0328"/>
    <w:rsid w:val="00FC074C"/>
    <w:rsid w:val="00FC122A"/>
    <w:rsid w:val="00FC66C8"/>
    <w:rsid w:val="00FD2972"/>
    <w:rsid w:val="00FD470A"/>
    <w:rsid w:val="00FD4FA3"/>
    <w:rsid w:val="00FD5493"/>
    <w:rsid w:val="00FD68E6"/>
    <w:rsid w:val="00FE1130"/>
    <w:rsid w:val="00FE251E"/>
    <w:rsid w:val="00FE36BC"/>
    <w:rsid w:val="00FF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D7FD75"/>
  <w15:docId w15:val="{49D90C7F-EFED-4CD9-8F53-D25F0AE5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4"/>
    <w:pPr>
      <w:spacing w:before="200" w:line="240" w:lineRule="auto"/>
      <w:ind w:left="360"/>
    </w:pPr>
    <w:rPr>
      <w:rFonts w:ascii="Arial" w:hAnsi="Arial"/>
      <w:sz w:val="24"/>
    </w:rPr>
  </w:style>
  <w:style w:type="paragraph" w:styleId="Heading1">
    <w:name w:val="heading 1"/>
    <w:aliases w:val="Appendix Title"/>
    <w:basedOn w:val="Normal"/>
    <w:next w:val="Normal"/>
    <w:link w:val="Heading1Char"/>
    <w:qFormat/>
    <w:rsid w:val="00E06BC1"/>
    <w:pPr>
      <w:keepNext/>
      <w:keepLines/>
      <w:numPr>
        <w:numId w:val="3"/>
      </w:numPr>
      <w:tabs>
        <w:tab w:val="left" w:pos="1620"/>
      </w:tabs>
      <w:spacing w:before="240" w:after="0"/>
      <w:ind w:left="360"/>
      <w:jc w:val="center"/>
      <w:outlineLvl w:val="0"/>
    </w:pPr>
    <w:rPr>
      <w:rFonts w:ascii="Arial Bold" w:eastAsiaTheme="majorEastAsia" w:hAnsi="Arial Bold" w:cstheme="majorBidi"/>
      <w:szCs w:val="28"/>
      <w14:scene3d>
        <w14:camera w14:prst="orthographicFront"/>
        <w14:lightRig w14:rig="threePt" w14:dir="t">
          <w14:rot w14:lat="0" w14:lon="0" w14:rev="0"/>
        </w14:lightRig>
      </w14:scene3d>
    </w:rPr>
  </w:style>
  <w:style w:type="paragraph" w:styleId="Heading2">
    <w:name w:val="heading 2"/>
    <w:basedOn w:val="Normal"/>
    <w:next w:val="Normal"/>
    <w:link w:val="Heading2Char"/>
    <w:unhideWhenUsed/>
    <w:qFormat/>
    <w:rsid w:val="004613EC"/>
    <w:pPr>
      <w:keepNext/>
      <w:keepLines/>
      <w:numPr>
        <w:numId w:val="53"/>
      </w:numPr>
      <w:spacing w:before="240" w:after="0"/>
      <w:jc w:val="center"/>
      <w:outlineLvl w:val="1"/>
    </w:pPr>
    <w:rPr>
      <w:rFonts w:ascii="Arial Bold" w:eastAsiaTheme="majorEastAsia" w:hAnsi="Arial Bold" w:cs="Arial"/>
      <w:b/>
      <w:bCs/>
      <w:caps/>
      <w:sz w:val="32"/>
      <w:szCs w:val="26"/>
    </w:rPr>
  </w:style>
  <w:style w:type="paragraph" w:styleId="Heading3">
    <w:name w:val="heading 3"/>
    <w:basedOn w:val="Normal"/>
    <w:next w:val="Normal"/>
    <w:link w:val="Heading3Char"/>
    <w:unhideWhenUsed/>
    <w:qFormat/>
    <w:rsid w:val="001C586E"/>
    <w:pPr>
      <w:keepNext/>
      <w:keepLines/>
      <w:spacing w:before="240" w:after="0"/>
      <w:ind w:left="0"/>
      <w:outlineLvl w:val="2"/>
    </w:pPr>
    <w:rPr>
      <w:rFonts w:ascii="Arial Bold" w:eastAsiaTheme="majorEastAsia" w:hAnsi="Arial Bold" w:cs="Arial"/>
      <w:b/>
      <w:bCs/>
      <w:smallCaps/>
    </w:rPr>
  </w:style>
  <w:style w:type="paragraph" w:styleId="Heading4">
    <w:name w:val="heading 4"/>
    <w:basedOn w:val="Normal"/>
    <w:next w:val="Normal"/>
    <w:link w:val="Heading4Char"/>
    <w:unhideWhenUsed/>
    <w:qFormat/>
    <w:rsid w:val="00E935DF"/>
    <w:pPr>
      <w:keepNext/>
      <w:keepLines/>
      <w:numPr>
        <w:ilvl w:val="3"/>
        <w:numId w:val="25"/>
      </w:numPr>
      <w:spacing w:before="240" w:after="0"/>
      <w:outlineLvl w:val="3"/>
    </w:pPr>
    <w:rPr>
      <w:rFonts w:eastAsiaTheme="majorEastAsia" w:cstheme="majorBidi"/>
      <w:bCs/>
      <w:iCs/>
    </w:rPr>
  </w:style>
  <w:style w:type="paragraph" w:styleId="Heading5">
    <w:name w:val="heading 5"/>
    <w:basedOn w:val="Normal"/>
    <w:next w:val="Normal"/>
    <w:link w:val="Heading5Char"/>
    <w:unhideWhenUsed/>
    <w:qFormat/>
    <w:rsid w:val="006957C1"/>
    <w:pPr>
      <w:numPr>
        <w:ilvl w:val="4"/>
        <w:numId w:val="25"/>
      </w:numPr>
      <w:spacing w:before="240" w:after="0"/>
      <w:outlineLvl w:val="4"/>
    </w:pPr>
    <w:rPr>
      <w:rFonts w:eastAsiaTheme="majorEastAsia" w:cstheme="majorBidi"/>
    </w:rPr>
  </w:style>
  <w:style w:type="paragraph" w:styleId="Heading6">
    <w:name w:val="heading 6"/>
    <w:basedOn w:val="Normal"/>
    <w:next w:val="Normal"/>
    <w:link w:val="Heading6Char"/>
    <w:unhideWhenUsed/>
    <w:qFormat/>
    <w:rsid w:val="00EE6042"/>
    <w:pPr>
      <w:numPr>
        <w:ilvl w:val="5"/>
        <w:numId w:val="25"/>
      </w:numPr>
      <w:spacing w:before="240" w:after="0"/>
      <w:outlineLvl w:val="5"/>
    </w:pPr>
    <w:rPr>
      <w:rFonts w:eastAsiaTheme="majorEastAsia" w:cstheme="majorBidi"/>
      <w:iCs/>
      <w:lang w:val="en"/>
    </w:rPr>
  </w:style>
  <w:style w:type="paragraph" w:styleId="Heading7">
    <w:name w:val="heading 7"/>
    <w:basedOn w:val="Normal"/>
    <w:next w:val="Normal"/>
    <w:link w:val="Heading7Char"/>
    <w:unhideWhenUsed/>
    <w:qFormat/>
    <w:rsid w:val="006957C1"/>
    <w:pPr>
      <w:numPr>
        <w:ilvl w:val="6"/>
        <w:numId w:val="25"/>
      </w:numPr>
      <w:spacing w:before="240" w:after="0"/>
      <w:outlineLvl w:val="6"/>
    </w:pPr>
    <w:rPr>
      <w:rFonts w:eastAsiaTheme="majorEastAsia" w:cstheme="majorBidi"/>
      <w:iCs/>
    </w:rPr>
  </w:style>
  <w:style w:type="paragraph" w:styleId="Heading8">
    <w:name w:val="heading 8"/>
    <w:basedOn w:val="Heading7"/>
    <w:next w:val="Normal"/>
    <w:link w:val="Heading8Char"/>
    <w:unhideWhenUsed/>
    <w:rsid w:val="00C82B6B"/>
    <w:pPr>
      <w:numPr>
        <w:ilvl w:val="0"/>
        <w:numId w:val="0"/>
      </w:numPr>
      <w:outlineLvl w:val="7"/>
    </w:pPr>
    <w:rPr>
      <w:rFonts w:cs="Times New Roman"/>
      <w:iCs w:val="0"/>
      <w:snapToGrid w:val="0"/>
      <w:color w:val="000000"/>
      <w:w w:val="0"/>
      <w:szCs w:val="24"/>
      <w:u w:color="000000"/>
    </w:rPr>
  </w:style>
  <w:style w:type="paragraph" w:styleId="Heading9">
    <w:name w:val="heading 9"/>
    <w:basedOn w:val="Normal"/>
    <w:next w:val="Normal"/>
    <w:link w:val="Heading9Char"/>
    <w:unhideWhenUsed/>
    <w:qFormat/>
    <w:rsid w:val="00414DCC"/>
    <w:pPr>
      <w:keepNext/>
      <w:keepLines/>
      <w:numPr>
        <w:ilvl w:val="8"/>
        <w:numId w:val="25"/>
      </w:numPr>
      <w:tabs>
        <w:tab w:val="left" w:pos="2160"/>
      </w:tabs>
      <w:spacing w:before="240" w:after="0"/>
      <w:outlineLvl w:val="8"/>
    </w:pPr>
    <w:rPr>
      <w:rFonts w:eastAsiaTheme="majorEastAsia" w:cs="Arial"/>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7B67"/>
    <w:pPr>
      <w:overflowPunct w:val="0"/>
      <w:autoSpaceDE w:val="0"/>
      <w:autoSpaceDN w:val="0"/>
      <w:adjustRightInd w:val="0"/>
      <w:spacing w:after="0"/>
      <w:textAlignment w:val="baseline"/>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C47B67"/>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DE0D4C"/>
    <w:pPr>
      <w:ind w:left="720"/>
      <w:contextualSpacing/>
    </w:pPr>
  </w:style>
  <w:style w:type="character" w:customStyle="1" w:styleId="Heading1Char">
    <w:name w:val="Heading 1 Char"/>
    <w:aliases w:val="Appendix Title Char"/>
    <w:basedOn w:val="DefaultParagraphFont"/>
    <w:link w:val="Heading1"/>
    <w:rsid w:val="003129ED"/>
    <w:rPr>
      <w:rFonts w:ascii="Arial Bold" w:eastAsiaTheme="majorEastAsia" w:hAnsi="Arial Bold" w:cstheme="majorBidi"/>
      <w:sz w:val="24"/>
      <w:szCs w:val="28"/>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4613EC"/>
    <w:rPr>
      <w:rFonts w:ascii="Arial Bold" w:eastAsiaTheme="majorEastAsia" w:hAnsi="Arial Bold" w:cs="Arial"/>
      <w:b/>
      <w:bCs/>
      <w:caps/>
      <w:sz w:val="32"/>
      <w:szCs w:val="26"/>
    </w:rPr>
  </w:style>
  <w:style w:type="character" w:customStyle="1" w:styleId="Heading3Char">
    <w:name w:val="Heading 3 Char"/>
    <w:basedOn w:val="DefaultParagraphFont"/>
    <w:link w:val="Heading3"/>
    <w:rsid w:val="001C586E"/>
    <w:rPr>
      <w:rFonts w:ascii="Arial Bold" w:eastAsiaTheme="majorEastAsia" w:hAnsi="Arial Bold" w:cs="Arial"/>
      <w:b/>
      <w:bCs/>
      <w:smallCaps/>
      <w:sz w:val="24"/>
    </w:rPr>
  </w:style>
  <w:style w:type="character" w:customStyle="1" w:styleId="Heading4Char">
    <w:name w:val="Heading 4 Char"/>
    <w:basedOn w:val="DefaultParagraphFont"/>
    <w:link w:val="Heading4"/>
    <w:rsid w:val="00E935DF"/>
    <w:rPr>
      <w:rFonts w:ascii="Arial" w:eastAsiaTheme="majorEastAsia" w:hAnsi="Arial" w:cstheme="majorBidi"/>
      <w:bCs/>
      <w:iCs/>
      <w:sz w:val="24"/>
    </w:rPr>
  </w:style>
  <w:style w:type="character" w:customStyle="1" w:styleId="Heading5Char">
    <w:name w:val="Heading 5 Char"/>
    <w:basedOn w:val="DefaultParagraphFont"/>
    <w:link w:val="Heading5"/>
    <w:rsid w:val="006957C1"/>
    <w:rPr>
      <w:rFonts w:ascii="Arial" w:eastAsiaTheme="majorEastAsia" w:hAnsi="Arial" w:cstheme="majorBidi"/>
      <w:sz w:val="24"/>
    </w:rPr>
  </w:style>
  <w:style w:type="character" w:customStyle="1" w:styleId="Heading6Char">
    <w:name w:val="Heading 6 Char"/>
    <w:basedOn w:val="DefaultParagraphFont"/>
    <w:link w:val="Heading6"/>
    <w:rsid w:val="00EE6042"/>
    <w:rPr>
      <w:rFonts w:ascii="Arial" w:eastAsiaTheme="majorEastAsia" w:hAnsi="Arial" w:cstheme="majorBidi"/>
      <w:iCs/>
      <w:sz w:val="24"/>
      <w:lang w:val="en"/>
    </w:rPr>
  </w:style>
  <w:style w:type="character" w:customStyle="1" w:styleId="Heading7Char">
    <w:name w:val="Heading 7 Char"/>
    <w:basedOn w:val="DefaultParagraphFont"/>
    <w:link w:val="Heading7"/>
    <w:rsid w:val="006957C1"/>
    <w:rPr>
      <w:rFonts w:ascii="Arial" w:eastAsiaTheme="majorEastAsia" w:hAnsi="Arial" w:cstheme="majorBidi"/>
      <w:iCs/>
      <w:sz w:val="24"/>
    </w:rPr>
  </w:style>
  <w:style w:type="character" w:customStyle="1" w:styleId="Heading8Char">
    <w:name w:val="Heading 8 Char"/>
    <w:basedOn w:val="DefaultParagraphFont"/>
    <w:link w:val="Heading8"/>
    <w:rsid w:val="00C82B6B"/>
    <w:rPr>
      <w:rFonts w:ascii="Arial" w:eastAsiaTheme="majorEastAsia" w:hAnsi="Arial" w:cs="Times New Roman"/>
      <w:snapToGrid w:val="0"/>
      <w:color w:val="000000"/>
      <w:w w:val="0"/>
      <w:sz w:val="24"/>
      <w:szCs w:val="24"/>
      <w:u w:color="000000"/>
    </w:rPr>
  </w:style>
  <w:style w:type="character" w:customStyle="1" w:styleId="Heading9Char">
    <w:name w:val="Heading 9 Char"/>
    <w:basedOn w:val="DefaultParagraphFont"/>
    <w:link w:val="Heading9"/>
    <w:rsid w:val="00414DCC"/>
    <w:rPr>
      <w:rFonts w:ascii="Arial" w:eastAsiaTheme="majorEastAsia" w:hAnsi="Arial" w:cs="Arial"/>
      <w:iCs/>
      <w:sz w:val="24"/>
      <w:szCs w:val="20"/>
    </w:rPr>
  </w:style>
  <w:style w:type="paragraph" w:styleId="TOC1">
    <w:name w:val="toc 1"/>
    <w:basedOn w:val="Normal"/>
    <w:next w:val="Normal"/>
    <w:autoRedefine/>
    <w:uiPriority w:val="39"/>
    <w:unhideWhenUsed/>
    <w:qFormat/>
    <w:rsid w:val="00A774F9"/>
    <w:pPr>
      <w:tabs>
        <w:tab w:val="right" w:leader="dot" w:pos="9350"/>
      </w:tabs>
      <w:spacing w:before="120" w:after="0"/>
      <w:ind w:left="1584" w:hanging="1584"/>
      <w:contextualSpacing/>
    </w:pPr>
    <w:rPr>
      <w:bCs/>
      <w:iCs/>
      <w:szCs w:val="24"/>
    </w:rPr>
  </w:style>
  <w:style w:type="paragraph" w:styleId="TOC2">
    <w:name w:val="toc 2"/>
    <w:basedOn w:val="Normal"/>
    <w:next w:val="Normal"/>
    <w:autoRedefine/>
    <w:uiPriority w:val="39"/>
    <w:unhideWhenUsed/>
    <w:qFormat/>
    <w:rsid w:val="002E162C"/>
    <w:pPr>
      <w:tabs>
        <w:tab w:val="left" w:pos="960"/>
        <w:tab w:val="right" w:leader="dot" w:pos="9350"/>
      </w:tabs>
      <w:spacing w:before="120" w:after="100"/>
      <w:ind w:left="432" w:hanging="432"/>
      <w:contextualSpacing/>
    </w:pPr>
    <w:rPr>
      <w:rFonts w:ascii="Arial Bold" w:hAnsi="Arial Bold"/>
      <w:b/>
      <w:bCs/>
    </w:rPr>
  </w:style>
  <w:style w:type="paragraph" w:styleId="TOC3">
    <w:name w:val="toc 3"/>
    <w:basedOn w:val="Normal"/>
    <w:next w:val="Normal"/>
    <w:autoRedefine/>
    <w:uiPriority w:val="39"/>
    <w:unhideWhenUsed/>
    <w:qFormat/>
    <w:rsid w:val="00E60533"/>
    <w:pPr>
      <w:tabs>
        <w:tab w:val="left" w:pos="1440"/>
        <w:tab w:val="right" w:leader="dot" w:pos="9350"/>
      </w:tabs>
      <w:spacing w:before="100" w:after="100"/>
      <w:ind w:left="1080" w:hanging="720"/>
      <w:contextualSpacing/>
    </w:pPr>
    <w:rPr>
      <w:szCs w:val="20"/>
    </w:rPr>
  </w:style>
  <w:style w:type="paragraph" w:styleId="TOC4">
    <w:name w:val="toc 4"/>
    <w:basedOn w:val="Normal"/>
    <w:next w:val="Normal"/>
    <w:autoRedefine/>
    <w:uiPriority w:val="39"/>
    <w:unhideWhenUsed/>
    <w:rsid w:val="0039264C"/>
    <w:pPr>
      <w:tabs>
        <w:tab w:val="left" w:pos="1620"/>
        <w:tab w:val="right" w:leader="dot" w:pos="9350"/>
      </w:tabs>
      <w:spacing w:before="0" w:after="0"/>
      <w:ind w:left="1620" w:hanging="540"/>
    </w:pPr>
    <w:rPr>
      <w:noProof/>
      <w:szCs w:val="20"/>
    </w:rPr>
  </w:style>
  <w:style w:type="character" w:styleId="Hyperlink">
    <w:name w:val="Hyperlink"/>
    <w:basedOn w:val="DefaultParagraphFont"/>
    <w:uiPriority w:val="99"/>
    <w:unhideWhenUsed/>
    <w:rsid w:val="00D11FD8"/>
    <w:rPr>
      <w:color w:val="0000FF" w:themeColor="hyperlink"/>
      <w:u w:val="single"/>
    </w:rPr>
  </w:style>
  <w:style w:type="paragraph" w:styleId="PlainText">
    <w:name w:val="Plain Text"/>
    <w:basedOn w:val="Normal"/>
    <w:link w:val="PlainTextChar"/>
    <w:unhideWhenUsed/>
    <w:rsid w:val="007E3B27"/>
    <w:pPr>
      <w:spacing w:before="0" w:after="0"/>
      <w:ind w:left="0"/>
    </w:pPr>
    <w:rPr>
      <w:rFonts w:ascii="Consolas" w:hAnsi="Consolas" w:cs="Times New Roman"/>
      <w:sz w:val="21"/>
      <w:szCs w:val="21"/>
    </w:rPr>
  </w:style>
  <w:style w:type="character" w:customStyle="1" w:styleId="PlainTextChar">
    <w:name w:val="Plain Text Char"/>
    <w:basedOn w:val="DefaultParagraphFont"/>
    <w:link w:val="PlainText"/>
    <w:rsid w:val="007E3B27"/>
    <w:rPr>
      <w:rFonts w:ascii="Consolas" w:hAnsi="Consolas" w:cs="Times New Roman"/>
      <w:sz w:val="21"/>
      <w:szCs w:val="21"/>
    </w:rPr>
  </w:style>
  <w:style w:type="character" w:styleId="FootnoteReference">
    <w:name w:val="footnote reference"/>
    <w:basedOn w:val="DefaultParagraphFont"/>
    <w:uiPriority w:val="99"/>
    <w:semiHidden/>
    <w:unhideWhenUsed/>
    <w:rsid w:val="00D82598"/>
    <w:rPr>
      <w:vertAlign w:val="superscript"/>
    </w:rPr>
  </w:style>
  <w:style w:type="paragraph" w:customStyle="1" w:styleId="level3text">
    <w:name w:val="level 3 text"/>
    <w:basedOn w:val="Normal"/>
    <w:link w:val="level3textChar"/>
    <w:qFormat/>
    <w:rsid w:val="00D6454C"/>
    <w:pPr>
      <w:spacing w:before="240" w:after="0"/>
    </w:pPr>
    <w:rPr>
      <w:rFonts w:cs="Arial"/>
    </w:rPr>
  </w:style>
  <w:style w:type="paragraph" w:customStyle="1" w:styleId="level4text">
    <w:name w:val="level 4 text"/>
    <w:basedOn w:val="ListParagraph"/>
    <w:qFormat/>
    <w:rsid w:val="006957C1"/>
    <w:pPr>
      <w:spacing w:before="240" w:after="0"/>
      <w:contextualSpacing w:val="0"/>
    </w:pPr>
    <w:rPr>
      <w:rFonts w:cs="Arial"/>
    </w:rPr>
  </w:style>
  <w:style w:type="character" w:customStyle="1" w:styleId="level3textChar">
    <w:name w:val="level 3 text Char"/>
    <w:basedOn w:val="DefaultParagraphFont"/>
    <w:link w:val="level3text"/>
    <w:rsid w:val="00D6454C"/>
    <w:rPr>
      <w:rFonts w:ascii="Arial" w:hAnsi="Arial" w:cs="Arial"/>
      <w:sz w:val="24"/>
    </w:rPr>
  </w:style>
  <w:style w:type="paragraph" w:customStyle="1" w:styleId="level5text">
    <w:name w:val="level 5 text"/>
    <w:basedOn w:val="Heading5"/>
    <w:qFormat/>
    <w:rsid w:val="00B670D3"/>
    <w:pPr>
      <w:numPr>
        <w:ilvl w:val="0"/>
        <w:numId w:val="0"/>
      </w:numPr>
      <w:ind w:left="1080"/>
    </w:pPr>
    <w:rPr>
      <w:rFonts w:eastAsia="Times New Roman" w:cs="Arial"/>
    </w:rPr>
  </w:style>
  <w:style w:type="paragraph" w:customStyle="1" w:styleId="level6text">
    <w:name w:val="level 6 text"/>
    <w:basedOn w:val="Normal"/>
    <w:qFormat/>
    <w:rsid w:val="0098636B"/>
    <w:pPr>
      <w:autoSpaceDE w:val="0"/>
      <w:autoSpaceDN w:val="0"/>
      <w:adjustRightInd w:val="0"/>
      <w:spacing w:after="0"/>
      <w:ind w:left="1440"/>
    </w:pPr>
  </w:style>
  <w:style w:type="paragraph" w:styleId="Footer">
    <w:name w:val="footer"/>
    <w:basedOn w:val="Normal"/>
    <w:link w:val="FooterChar"/>
    <w:uiPriority w:val="99"/>
    <w:unhideWhenUsed/>
    <w:rsid w:val="0098636B"/>
    <w:pPr>
      <w:tabs>
        <w:tab w:val="center" w:pos="4680"/>
        <w:tab w:val="right" w:pos="9360"/>
      </w:tabs>
      <w:spacing w:before="0" w:after="0"/>
      <w:ind w:left="0"/>
    </w:pPr>
    <w:rPr>
      <w:rFonts w:asciiTheme="minorHAnsi" w:eastAsiaTheme="minorEastAsia" w:hAnsiTheme="minorHAnsi"/>
      <w:sz w:val="22"/>
    </w:rPr>
  </w:style>
  <w:style w:type="character" w:customStyle="1" w:styleId="FooterChar">
    <w:name w:val="Footer Char"/>
    <w:basedOn w:val="DefaultParagraphFont"/>
    <w:link w:val="Footer"/>
    <w:uiPriority w:val="99"/>
    <w:rsid w:val="0098636B"/>
    <w:rPr>
      <w:rFonts w:eastAsiaTheme="minorEastAsia"/>
    </w:rPr>
  </w:style>
  <w:style w:type="paragraph" w:styleId="BodyText">
    <w:name w:val="Body Text"/>
    <w:basedOn w:val="Normal"/>
    <w:link w:val="BodyTextChar"/>
    <w:unhideWhenUsed/>
    <w:rsid w:val="00E00412"/>
    <w:pPr>
      <w:spacing w:before="0" w:after="120" w:line="276" w:lineRule="auto"/>
      <w:ind w:left="0"/>
    </w:pPr>
    <w:rPr>
      <w:rFonts w:asciiTheme="minorHAnsi" w:eastAsiaTheme="minorEastAsia" w:hAnsiTheme="minorHAnsi"/>
      <w:sz w:val="22"/>
    </w:rPr>
  </w:style>
  <w:style w:type="character" w:customStyle="1" w:styleId="BodyTextChar">
    <w:name w:val="Body Text Char"/>
    <w:basedOn w:val="DefaultParagraphFont"/>
    <w:link w:val="BodyText"/>
    <w:uiPriority w:val="99"/>
    <w:rsid w:val="00E00412"/>
    <w:rPr>
      <w:rFonts w:eastAsiaTheme="minorEastAsia"/>
    </w:rPr>
  </w:style>
  <w:style w:type="paragraph" w:customStyle="1" w:styleId="BodyText21">
    <w:name w:val="Body Text 21"/>
    <w:basedOn w:val="Normal"/>
    <w:rsid w:val="001F0C05"/>
    <w:pPr>
      <w:widowControl w:val="0"/>
      <w:overflowPunct w:val="0"/>
      <w:autoSpaceDE w:val="0"/>
      <w:autoSpaceDN w:val="0"/>
      <w:adjustRightInd w:val="0"/>
      <w:spacing w:before="0" w:after="0"/>
      <w:ind w:left="0" w:firstLine="360"/>
      <w:textAlignment w:val="baseline"/>
    </w:pPr>
    <w:rPr>
      <w:rFonts w:eastAsia="Times New Roman" w:cs="Times New Roman"/>
      <w:sz w:val="20"/>
      <w:szCs w:val="20"/>
    </w:rPr>
  </w:style>
  <w:style w:type="paragraph" w:customStyle="1" w:styleId="level7text">
    <w:name w:val="level 7 text"/>
    <w:basedOn w:val="Heading7"/>
    <w:qFormat/>
    <w:rsid w:val="00BA1062"/>
    <w:pPr>
      <w:numPr>
        <w:ilvl w:val="0"/>
        <w:numId w:val="0"/>
      </w:numPr>
      <w:ind w:left="1800"/>
    </w:pPr>
  </w:style>
  <w:style w:type="paragraph" w:styleId="BodyTextIndent2">
    <w:name w:val="Body Text Indent 2"/>
    <w:basedOn w:val="Normal"/>
    <w:link w:val="BodyTextIndent2Char"/>
    <w:unhideWhenUsed/>
    <w:rsid w:val="00BA1062"/>
    <w:pPr>
      <w:spacing w:after="120" w:line="480" w:lineRule="auto"/>
    </w:pPr>
  </w:style>
  <w:style w:type="character" w:customStyle="1" w:styleId="BodyTextIndent2Char">
    <w:name w:val="Body Text Indent 2 Char"/>
    <w:basedOn w:val="DefaultParagraphFont"/>
    <w:link w:val="BodyTextIndent2"/>
    <w:uiPriority w:val="99"/>
    <w:semiHidden/>
    <w:rsid w:val="00BA1062"/>
    <w:rPr>
      <w:rFonts w:ascii="Arial" w:hAnsi="Arial"/>
      <w:sz w:val="24"/>
    </w:rPr>
  </w:style>
  <w:style w:type="table" w:customStyle="1" w:styleId="TableGrid1">
    <w:name w:val="Table Grid1"/>
    <w:basedOn w:val="TableNormal"/>
    <w:next w:val="TableGrid"/>
    <w:uiPriority w:val="59"/>
    <w:rsid w:val="001C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47585"/>
    <w:pPr>
      <w:spacing w:before="0" w:after="0"/>
      <w:ind w:left="0"/>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347585"/>
    <w:rPr>
      <w:rFonts w:ascii="Times New Roman" w:eastAsia="Times New Roman" w:hAnsi="Times New Roman" w:cs="Times New Roman"/>
      <w:b/>
      <w:bCs/>
      <w:sz w:val="24"/>
      <w:szCs w:val="24"/>
    </w:rPr>
  </w:style>
  <w:style w:type="paragraph" w:customStyle="1" w:styleId="tabletext">
    <w:name w:val="table text"/>
    <w:basedOn w:val="Normal"/>
    <w:qFormat/>
    <w:rsid w:val="0007248B"/>
    <w:pPr>
      <w:ind w:left="0"/>
    </w:pPr>
  </w:style>
  <w:style w:type="paragraph" w:customStyle="1" w:styleId="tabletitle">
    <w:name w:val="table title"/>
    <w:basedOn w:val="Normal"/>
    <w:qFormat/>
    <w:rsid w:val="00D716BF"/>
    <w:pPr>
      <w:ind w:hanging="360"/>
    </w:pPr>
    <w:rPr>
      <w:b/>
    </w:rPr>
  </w:style>
  <w:style w:type="paragraph" w:styleId="Header">
    <w:name w:val="header"/>
    <w:basedOn w:val="Normal"/>
    <w:link w:val="HeaderChar"/>
    <w:uiPriority w:val="99"/>
    <w:unhideWhenUsed/>
    <w:rsid w:val="005B6B41"/>
    <w:pPr>
      <w:numPr>
        <w:ilvl w:val="8"/>
        <w:numId w:val="2"/>
      </w:numPr>
      <w:tabs>
        <w:tab w:val="right" w:pos="720"/>
      </w:tabs>
      <w:spacing w:before="0" w:after="0"/>
      <w:ind w:left="360" w:hanging="360"/>
    </w:pPr>
    <w:rPr>
      <w:rFonts w:ascii="Arial Bold" w:hAnsi="Arial Bold"/>
      <w:b/>
    </w:rPr>
  </w:style>
  <w:style w:type="character" w:customStyle="1" w:styleId="HeaderChar">
    <w:name w:val="Header Char"/>
    <w:basedOn w:val="DefaultParagraphFont"/>
    <w:link w:val="Header"/>
    <w:uiPriority w:val="99"/>
    <w:rsid w:val="005B6B41"/>
    <w:rPr>
      <w:rFonts w:ascii="Arial Bold" w:hAnsi="Arial Bold"/>
      <w:b/>
      <w:sz w:val="24"/>
    </w:rPr>
  </w:style>
  <w:style w:type="character" w:styleId="CommentReference">
    <w:name w:val="annotation reference"/>
    <w:basedOn w:val="DefaultParagraphFont"/>
    <w:uiPriority w:val="99"/>
    <w:unhideWhenUsed/>
    <w:rsid w:val="00046561"/>
    <w:rPr>
      <w:sz w:val="16"/>
      <w:szCs w:val="16"/>
    </w:rPr>
  </w:style>
  <w:style w:type="paragraph" w:styleId="CommentText">
    <w:name w:val="annotation text"/>
    <w:basedOn w:val="Normal"/>
    <w:link w:val="CommentTextChar"/>
    <w:uiPriority w:val="99"/>
    <w:unhideWhenUsed/>
    <w:rsid w:val="00046561"/>
    <w:rPr>
      <w:sz w:val="20"/>
      <w:szCs w:val="20"/>
    </w:rPr>
  </w:style>
  <w:style w:type="character" w:customStyle="1" w:styleId="CommentTextChar">
    <w:name w:val="Comment Text Char"/>
    <w:basedOn w:val="DefaultParagraphFont"/>
    <w:link w:val="CommentText"/>
    <w:uiPriority w:val="99"/>
    <w:rsid w:val="000465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6561"/>
    <w:rPr>
      <w:b/>
      <w:bCs/>
    </w:rPr>
  </w:style>
  <w:style w:type="character" w:customStyle="1" w:styleId="CommentSubjectChar">
    <w:name w:val="Comment Subject Char"/>
    <w:basedOn w:val="CommentTextChar"/>
    <w:link w:val="CommentSubject"/>
    <w:uiPriority w:val="99"/>
    <w:semiHidden/>
    <w:rsid w:val="00046561"/>
    <w:rPr>
      <w:rFonts w:ascii="Arial" w:hAnsi="Arial"/>
      <w:b/>
      <w:bCs/>
      <w:sz w:val="20"/>
      <w:szCs w:val="20"/>
    </w:rPr>
  </w:style>
  <w:style w:type="paragraph" w:styleId="BalloonText">
    <w:name w:val="Balloon Text"/>
    <w:basedOn w:val="Normal"/>
    <w:link w:val="BalloonTextChar"/>
    <w:uiPriority w:val="99"/>
    <w:semiHidden/>
    <w:unhideWhenUsed/>
    <w:rsid w:val="000465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561"/>
    <w:rPr>
      <w:rFonts w:ascii="Tahoma" w:hAnsi="Tahoma" w:cs="Tahoma"/>
      <w:sz w:val="16"/>
      <w:szCs w:val="16"/>
    </w:rPr>
  </w:style>
  <w:style w:type="paragraph" w:customStyle="1" w:styleId="Level7text0">
    <w:name w:val="Level 7 text"/>
    <w:basedOn w:val="Normal"/>
    <w:qFormat/>
    <w:rsid w:val="00E37DA1"/>
    <w:pPr>
      <w:autoSpaceDE w:val="0"/>
      <w:autoSpaceDN w:val="0"/>
      <w:adjustRightInd w:val="0"/>
      <w:snapToGrid w:val="0"/>
      <w:spacing w:after="0"/>
      <w:ind w:left="1800"/>
    </w:pPr>
    <w:rPr>
      <w:rFonts w:eastAsia="Times New Roman" w:cs="Arial"/>
      <w:szCs w:val="24"/>
    </w:rPr>
  </w:style>
  <w:style w:type="paragraph" w:customStyle="1" w:styleId="heading8text">
    <w:name w:val="heading 8 text"/>
    <w:basedOn w:val="Heading8"/>
    <w:link w:val="heading8textChar"/>
    <w:qFormat/>
    <w:rsid w:val="00B013ED"/>
    <w:pPr>
      <w:tabs>
        <w:tab w:val="left" w:pos="2160"/>
      </w:tabs>
      <w:ind w:left="2160"/>
    </w:pPr>
  </w:style>
  <w:style w:type="character" w:customStyle="1" w:styleId="heading8textChar">
    <w:name w:val="heading 8 text Char"/>
    <w:basedOn w:val="Heading8Char"/>
    <w:link w:val="heading8text"/>
    <w:rsid w:val="00B013ED"/>
    <w:rPr>
      <w:rFonts w:ascii="Arial" w:eastAsia="Times New Roman" w:hAnsi="Arial" w:cs="Arial"/>
      <w:snapToGrid w:val="0"/>
      <w:color w:val="000000"/>
      <w:w w:val="0"/>
      <w:sz w:val="24"/>
      <w:szCs w:val="24"/>
      <w:u w:color="000000"/>
      <w14:scene3d>
        <w14:camera w14:prst="orthographicFront"/>
        <w14:lightRig w14:rig="threePt" w14:dir="t">
          <w14:rot w14:lat="0" w14:lon="0" w14:rev="0"/>
        </w14:lightRig>
      </w14:scene3d>
    </w:rPr>
  </w:style>
  <w:style w:type="paragraph" w:customStyle="1" w:styleId="footertext">
    <w:name w:val="footer text"/>
    <w:basedOn w:val="Heading2"/>
    <w:qFormat/>
    <w:rsid w:val="003F5B99"/>
    <w:pPr>
      <w:keepNext w:val="0"/>
      <w:keepLines w:val="0"/>
    </w:pPr>
    <w:rPr>
      <w:rFonts w:ascii="Arial" w:hAnsi="Arial"/>
      <w:b w:val="0"/>
      <w:smallCaps/>
      <w:sz w:val="20"/>
      <w:szCs w:val="20"/>
    </w:rPr>
  </w:style>
  <w:style w:type="paragraph" w:styleId="Revision">
    <w:name w:val="Revision"/>
    <w:hidden/>
    <w:uiPriority w:val="99"/>
    <w:semiHidden/>
    <w:rsid w:val="00E57228"/>
    <w:pPr>
      <w:spacing w:after="0" w:line="240" w:lineRule="auto"/>
    </w:pPr>
    <w:rPr>
      <w:rFonts w:ascii="Arial" w:hAnsi="Arial"/>
      <w:sz w:val="24"/>
    </w:rPr>
  </w:style>
  <w:style w:type="paragraph" w:customStyle="1" w:styleId="level9outline">
    <w:name w:val="level 9 outline"/>
    <w:basedOn w:val="ListParagraph"/>
    <w:qFormat/>
    <w:rsid w:val="00B013ED"/>
    <w:pPr>
      <w:numPr>
        <w:numId w:val="1"/>
      </w:numPr>
      <w:tabs>
        <w:tab w:val="left" w:pos="2610"/>
      </w:tabs>
      <w:spacing w:before="240" w:after="0"/>
      <w:ind w:left="2520"/>
      <w:contextualSpacing w:val="0"/>
    </w:pPr>
  </w:style>
  <w:style w:type="paragraph" w:styleId="NoSpacing">
    <w:name w:val="No Spacing"/>
    <w:uiPriority w:val="1"/>
    <w:qFormat/>
    <w:rsid w:val="001912AA"/>
    <w:pPr>
      <w:spacing w:after="0" w:line="240" w:lineRule="auto"/>
      <w:ind w:left="360"/>
    </w:pPr>
    <w:rPr>
      <w:rFonts w:ascii="Arial" w:hAnsi="Arial"/>
      <w:sz w:val="24"/>
    </w:rPr>
  </w:style>
  <w:style w:type="paragraph" w:styleId="TOCHeading">
    <w:name w:val="TOC Heading"/>
    <w:basedOn w:val="Heading1"/>
    <w:next w:val="Normal"/>
    <w:uiPriority w:val="39"/>
    <w:semiHidden/>
    <w:unhideWhenUsed/>
    <w:qFormat/>
    <w:rsid w:val="00AA35E0"/>
    <w:pPr>
      <w:numPr>
        <w:numId w:val="0"/>
      </w:numPr>
      <w:spacing w:line="276" w:lineRule="auto"/>
      <w:jc w:val="left"/>
      <w:outlineLvl w:val="9"/>
    </w:pPr>
    <w:rPr>
      <w:rFonts w:asciiTheme="majorHAnsi" w:hAnsiTheme="majorHAnsi"/>
      <w:caps/>
      <w:color w:val="365F91" w:themeColor="accent1" w:themeShade="BF"/>
      <w:sz w:val="28"/>
      <w:lang w:eastAsia="ja-JP"/>
    </w:rPr>
  </w:style>
  <w:style w:type="paragraph" w:styleId="TOC5">
    <w:name w:val="toc 5"/>
    <w:basedOn w:val="Normal"/>
    <w:next w:val="Normal"/>
    <w:autoRedefine/>
    <w:uiPriority w:val="39"/>
    <w:unhideWhenUsed/>
    <w:rsid w:val="00AA35E0"/>
    <w:pPr>
      <w:spacing w:before="0" w:after="0"/>
      <w:ind w:left="960"/>
    </w:pPr>
    <w:rPr>
      <w:rFonts w:asciiTheme="minorHAnsi" w:hAnsiTheme="minorHAnsi"/>
      <w:sz w:val="20"/>
      <w:szCs w:val="20"/>
    </w:rPr>
  </w:style>
  <w:style w:type="paragraph" w:styleId="TOC6">
    <w:name w:val="toc 6"/>
    <w:basedOn w:val="Normal"/>
    <w:next w:val="Normal"/>
    <w:autoRedefine/>
    <w:uiPriority w:val="39"/>
    <w:unhideWhenUsed/>
    <w:rsid w:val="00AA35E0"/>
    <w:pPr>
      <w:spacing w:before="0" w:after="0"/>
      <w:ind w:left="1200"/>
    </w:pPr>
    <w:rPr>
      <w:rFonts w:asciiTheme="minorHAnsi" w:hAnsiTheme="minorHAnsi"/>
      <w:sz w:val="20"/>
      <w:szCs w:val="20"/>
    </w:rPr>
  </w:style>
  <w:style w:type="paragraph" w:styleId="TOC7">
    <w:name w:val="toc 7"/>
    <w:basedOn w:val="Normal"/>
    <w:next w:val="Normal"/>
    <w:autoRedefine/>
    <w:uiPriority w:val="39"/>
    <w:unhideWhenUsed/>
    <w:rsid w:val="00AA35E0"/>
    <w:pPr>
      <w:spacing w:before="0" w:after="0"/>
      <w:ind w:left="1440"/>
    </w:pPr>
    <w:rPr>
      <w:rFonts w:asciiTheme="minorHAnsi" w:hAnsiTheme="minorHAnsi"/>
      <w:sz w:val="20"/>
      <w:szCs w:val="20"/>
    </w:rPr>
  </w:style>
  <w:style w:type="paragraph" w:styleId="TOC8">
    <w:name w:val="toc 8"/>
    <w:basedOn w:val="Normal"/>
    <w:next w:val="Normal"/>
    <w:autoRedefine/>
    <w:uiPriority w:val="39"/>
    <w:unhideWhenUsed/>
    <w:rsid w:val="00AA35E0"/>
    <w:pPr>
      <w:spacing w:before="0" w:after="0"/>
      <w:ind w:left="1680"/>
    </w:pPr>
    <w:rPr>
      <w:rFonts w:asciiTheme="minorHAnsi" w:hAnsiTheme="minorHAnsi"/>
      <w:sz w:val="20"/>
      <w:szCs w:val="20"/>
    </w:rPr>
  </w:style>
  <w:style w:type="paragraph" w:styleId="TOC9">
    <w:name w:val="toc 9"/>
    <w:basedOn w:val="Normal"/>
    <w:next w:val="Normal"/>
    <w:autoRedefine/>
    <w:uiPriority w:val="39"/>
    <w:unhideWhenUsed/>
    <w:rsid w:val="00AA35E0"/>
    <w:pPr>
      <w:spacing w:before="0" w:after="0"/>
      <w:ind w:left="1920"/>
    </w:pPr>
    <w:rPr>
      <w:rFonts w:asciiTheme="minorHAnsi" w:hAnsiTheme="minorHAnsi"/>
      <w:sz w:val="20"/>
      <w:szCs w:val="20"/>
    </w:rPr>
  </w:style>
  <w:style w:type="paragraph" w:customStyle="1" w:styleId="contractlanguage">
    <w:name w:val="contract language"/>
    <w:basedOn w:val="PlainText"/>
    <w:qFormat/>
    <w:rsid w:val="00B05AB6"/>
    <w:pPr>
      <w:spacing w:before="240"/>
      <w:ind w:left="2160" w:right="2160"/>
    </w:pPr>
    <w:rPr>
      <w:rFonts w:ascii="Arial" w:hAnsi="Arial" w:cs="Arial"/>
      <w:sz w:val="24"/>
      <w:szCs w:val="24"/>
    </w:rPr>
  </w:style>
  <w:style w:type="paragraph" w:customStyle="1" w:styleId="Level4bulletlist">
    <w:name w:val="Level 4 bullet list"/>
    <w:basedOn w:val="ListParagraph"/>
    <w:qFormat/>
    <w:rsid w:val="005D5CFA"/>
    <w:pPr>
      <w:ind w:left="0"/>
    </w:pPr>
  </w:style>
  <w:style w:type="character" w:styleId="FollowedHyperlink">
    <w:name w:val="FollowedHyperlink"/>
    <w:basedOn w:val="DefaultParagraphFont"/>
    <w:unhideWhenUsed/>
    <w:rsid w:val="00986A41"/>
    <w:rPr>
      <w:color w:val="800080" w:themeColor="followedHyperlink"/>
      <w:u w:val="single"/>
    </w:rPr>
  </w:style>
  <w:style w:type="paragraph" w:customStyle="1" w:styleId="AppendixText">
    <w:name w:val="Appendix Text"/>
    <w:basedOn w:val="PlainText"/>
    <w:qFormat/>
    <w:rsid w:val="005B6B41"/>
    <w:pPr>
      <w:spacing w:after="240"/>
      <w:ind w:firstLine="720"/>
    </w:pPr>
    <w:rPr>
      <w:rFonts w:ascii="Times New Roman" w:hAnsi="Times New Roman"/>
      <w:sz w:val="24"/>
      <w:szCs w:val="24"/>
    </w:rPr>
  </w:style>
  <w:style w:type="paragraph" w:customStyle="1" w:styleId="HBX1Text">
    <w:name w:val="HB X.1 Text"/>
    <w:basedOn w:val="Normal"/>
    <w:autoRedefine/>
    <w:qFormat/>
    <w:rsid w:val="001820DF"/>
    <w:pPr>
      <w:spacing w:before="240" w:after="0"/>
      <w:ind w:left="720"/>
    </w:pPr>
    <w:rPr>
      <w:rFonts w:eastAsia="Times New Roman" w:cs="Arial"/>
    </w:rPr>
  </w:style>
  <w:style w:type="paragraph" w:customStyle="1" w:styleId="HB1Outline">
    <w:name w:val="HB 1) Outline"/>
    <w:basedOn w:val="Normal"/>
    <w:autoRedefine/>
    <w:qFormat/>
    <w:rsid w:val="001820DF"/>
    <w:pPr>
      <w:numPr>
        <w:numId w:val="4"/>
      </w:numPr>
      <w:spacing w:before="240" w:after="0"/>
      <w:ind w:left="1080"/>
    </w:pPr>
    <w:rPr>
      <w:rFonts w:eastAsia="Times New Roman" w:cs="Arial"/>
      <w:szCs w:val="24"/>
    </w:rPr>
  </w:style>
  <w:style w:type="paragraph" w:customStyle="1" w:styleId="HBAOutline">
    <w:name w:val="HB A. Outline"/>
    <w:basedOn w:val="Normal"/>
    <w:autoRedefine/>
    <w:qFormat/>
    <w:rsid w:val="001820DF"/>
    <w:pPr>
      <w:numPr>
        <w:numId w:val="5"/>
      </w:numPr>
      <w:spacing w:before="100" w:beforeAutospacing="1" w:after="260"/>
    </w:pPr>
    <w:rPr>
      <w:rFonts w:eastAsia="Times New Roman" w:cs="Arial"/>
      <w:szCs w:val="24"/>
    </w:rPr>
  </w:style>
  <w:style w:type="paragraph" w:customStyle="1" w:styleId="HBAText">
    <w:name w:val="HB A. Text"/>
    <w:basedOn w:val="Normal"/>
    <w:autoRedefine/>
    <w:qFormat/>
    <w:rsid w:val="006F0A7A"/>
    <w:pPr>
      <w:tabs>
        <w:tab w:val="left" w:pos="360"/>
      </w:tabs>
      <w:spacing w:before="240" w:after="0"/>
      <w:ind w:left="720"/>
    </w:pPr>
    <w:rPr>
      <w:rFonts w:eastAsia="Times New Roman" w:cs="Arial"/>
    </w:rPr>
  </w:style>
  <w:style w:type="paragraph" w:customStyle="1" w:styleId="HB1Text">
    <w:name w:val="HB 1) Text"/>
    <w:basedOn w:val="Normal"/>
    <w:qFormat/>
    <w:rsid w:val="0063499A"/>
    <w:pPr>
      <w:spacing w:before="240" w:after="0"/>
      <w:ind w:left="1080"/>
    </w:pPr>
    <w:rPr>
      <w:rFonts w:eastAsia="MS Mincho" w:cs="Arial"/>
    </w:rPr>
  </w:style>
  <w:style w:type="paragraph" w:customStyle="1" w:styleId="HBaOutline0">
    <w:name w:val="HB a) Outline"/>
    <w:basedOn w:val="Normal"/>
    <w:autoRedefine/>
    <w:qFormat/>
    <w:rsid w:val="00802A85"/>
    <w:pPr>
      <w:numPr>
        <w:numId w:val="6"/>
      </w:numPr>
      <w:tabs>
        <w:tab w:val="left" w:pos="1080"/>
      </w:tabs>
      <w:spacing w:before="100" w:beforeAutospacing="1" w:after="300"/>
      <w:outlineLvl w:val="4"/>
    </w:pPr>
    <w:rPr>
      <w:rFonts w:eastAsia="Times New Roman" w:cs="Arial"/>
      <w:szCs w:val="24"/>
    </w:rPr>
  </w:style>
  <w:style w:type="paragraph" w:customStyle="1" w:styleId="HBiOutline">
    <w:name w:val="HB i) Outline"/>
    <w:basedOn w:val="Normal"/>
    <w:qFormat/>
    <w:rsid w:val="00495519"/>
    <w:pPr>
      <w:keepNext/>
      <w:numPr>
        <w:numId w:val="42"/>
      </w:numPr>
      <w:spacing w:before="0" w:after="240"/>
      <w:outlineLvl w:val="5"/>
    </w:pPr>
    <w:rPr>
      <w:rFonts w:eastAsia="MS Mincho" w:cs="Arial"/>
      <w:szCs w:val="24"/>
    </w:rPr>
  </w:style>
  <w:style w:type="paragraph" w:customStyle="1" w:styleId="HBiText">
    <w:name w:val="HB i) Text"/>
    <w:basedOn w:val="Normal"/>
    <w:autoRedefine/>
    <w:qFormat/>
    <w:rsid w:val="00D6454C"/>
    <w:pPr>
      <w:tabs>
        <w:tab w:val="left" w:pos="360"/>
      </w:tabs>
      <w:spacing w:before="0" w:after="120"/>
      <w:ind w:left="1800"/>
    </w:pPr>
    <w:rPr>
      <w:rFonts w:eastAsia="Times New Roman" w:cs="Arial"/>
    </w:rPr>
  </w:style>
  <w:style w:type="paragraph" w:customStyle="1" w:styleId="HBaText0">
    <w:name w:val="HB a) Text"/>
    <w:basedOn w:val="Normal"/>
    <w:autoRedefine/>
    <w:qFormat/>
    <w:rsid w:val="00014A46"/>
    <w:pPr>
      <w:tabs>
        <w:tab w:val="left" w:pos="360"/>
      </w:tabs>
      <w:spacing w:before="0" w:after="120"/>
      <w:ind w:left="1440"/>
    </w:pPr>
    <w:rPr>
      <w:rFonts w:eastAsia="Times New Roman" w:cs="Arial"/>
      <w:szCs w:val="24"/>
    </w:rPr>
  </w:style>
  <w:style w:type="paragraph" w:customStyle="1" w:styleId="AppendixText2">
    <w:name w:val="Appendix Text 2"/>
    <w:basedOn w:val="HBX1Text"/>
    <w:qFormat/>
    <w:rsid w:val="009B2BFF"/>
  </w:style>
  <w:style w:type="paragraph" w:styleId="BodyTextIndent">
    <w:name w:val="Body Text Indent"/>
    <w:basedOn w:val="Normal"/>
    <w:link w:val="BodyTextIndentChar"/>
    <w:unhideWhenUsed/>
    <w:rsid w:val="00270DBB"/>
    <w:pPr>
      <w:spacing w:after="120"/>
    </w:pPr>
  </w:style>
  <w:style w:type="character" w:customStyle="1" w:styleId="BodyTextIndentChar">
    <w:name w:val="Body Text Indent Char"/>
    <w:basedOn w:val="DefaultParagraphFont"/>
    <w:link w:val="BodyTextIndent"/>
    <w:uiPriority w:val="99"/>
    <w:semiHidden/>
    <w:rsid w:val="00270DBB"/>
    <w:rPr>
      <w:rFonts w:ascii="Arial" w:hAnsi="Arial"/>
      <w:sz w:val="24"/>
    </w:rPr>
  </w:style>
  <w:style w:type="paragraph" w:styleId="BodyTextIndent3">
    <w:name w:val="Body Text Indent 3"/>
    <w:basedOn w:val="Normal"/>
    <w:link w:val="BodyTextIndent3Char"/>
    <w:unhideWhenUsed/>
    <w:rsid w:val="00270DBB"/>
    <w:pPr>
      <w:spacing w:after="120"/>
    </w:pPr>
    <w:rPr>
      <w:sz w:val="16"/>
      <w:szCs w:val="16"/>
    </w:rPr>
  </w:style>
  <w:style w:type="character" w:customStyle="1" w:styleId="BodyTextIndent3Char">
    <w:name w:val="Body Text Indent 3 Char"/>
    <w:basedOn w:val="DefaultParagraphFont"/>
    <w:link w:val="BodyTextIndent3"/>
    <w:uiPriority w:val="99"/>
    <w:semiHidden/>
    <w:rsid w:val="00270DBB"/>
    <w:rPr>
      <w:rFonts w:ascii="Arial" w:hAnsi="Arial"/>
      <w:sz w:val="16"/>
      <w:szCs w:val="16"/>
    </w:rPr>
  </w:style>
  <w:style w:type="paragraph" w:styleId="BlockText">
    <w:name w:val="Block Text"/>
    <w:basedOn w:val="Normal"/>
    <w:rsid w:val="00270DBB"/>
    <w:pPr>
      <w:spacing w:before="0" w:after="0"/>
      <w:ind w:left="1440" w:right="6105" w:hanging="720"/>
    </w:pPr>
    <w:rPr>
      <w:rFonts w:ascii="Times New Roman" w:eastAsia="Times New Roman" w:hAnsi="Times New Roman" w:cs="Times New Roman"/>
      <w:szCs w:val="24"/>
    </w:rPr>
  </w:style>
  <w:style w:type="paragraph" w:styleId="BodyText2">
    <w:name w:val="Body Text 2"/>
    <w:basedOn w:val="Normal"/>
    <w:link w:val="BodyText2Char"/>
    <w:rsid w:val="00270DBB"/>
    <w:pPr>
      <w:spacing w:before="0" w:after="0"/>
      <w:ind w:left="0"/>
    </w:pPr>
    <w:rPr>
      <w:rFonts w:ascii="Times New Roman" w:eastAsia="Times New Roman" w:hAnsi="Times New Roman" w:cs="Times New Roman"/>
      <w:b/>
      <w:bCs/>
      <w:szCs w:val="24"/>
    </w:rPr>
  </w:style>
  <w:style w:type="character" w:customStyle="1" w:styleId="BodyText2Char">
    <w:name w:val="Body Text 2 Char"/>
    <w:basedOn w:val="DefaultParagraphFont"/>
    <w:link w:val="BodyText2"/>
    <w:rsid w:val="00270DBB"/>
    <w:rPr>
      <w:rFonts w:ascii="Times New Roman" w:eastAsia="Times New Roman" w:hAnsi="Times New Roman" w:cs="Times New Roman"/>
      <w:b/>
      <w:bCs/>
      <w:sz w:val="24"/>
      <w:szCs w:val="24"/>
    </w:rPr>
  </w:style>
  <w:style w:type="paragraph" w:styleId="BodyText3">
    <w:name w:val="Body Text 3"/>
    <w:basedOn w:val="Normal"/>
    <w:link w:val="BodyText3Char"/>
    <w:rsid w:val="00270DBB"/>
    <w:pPr>
      <w:autoSpaceDE w:val="0"/>
      <w:autoSpaceDN w:val="0"/>
      <w:adjustRightInd w:val="0"/>
      <w:spacing w:before="0" w:after="0"/>
      <w:ind w:left="0"/>
      <w:jc w:val="center"/>
    </w:pPr>
    <w:rPr>
      <w:rFonts w:ascii="Times New Roman" w:eastAsia="Times New Roman" w:hAnsi="Times New Roman" w:cs="Times New Roman"/>
      <w:b/>
      <w:bCs/>
      <w:color w:val="000000"/>
      <w:szCs w:val="24"/>
    </w:rPr>
  </w:style>
  <w:style w:type="character" w:customStyle="1" w:styleId="BodyText3Char">
    <w:name w:val="Body Text 3 Char"/>
    <w:basedOn w:val="DefaultParagraphFont"/>
    <w:link w:val="BodyText3"/>
    <w:rsid w:val="00270DBB"/>
    <w:rPr>
      <w:rFonts w:ascii="Times New Roman" w:eastAsia="Times New Roman" w:hAnsi="Times New Roman" w:cs="Times New Roman"/>
      <w:b/>
      <w:bCs/>
      <w:color w:val="000000"/>
      <w:sz w:val="24"/>
      <w:szCs w:val="24"/>
    </w:rPr>
  </w:style>
  <w:style w:type="character" w:styleId="PageNumber">
    <w:name w:val="page number"/>
    <w:basedOn w:val="DefaultParagraphFont"/>
    <w:rsid w:val="00270DBB"/>
  </w:style>
  <w:style w:type="paragraph" w:styleId="HTMLPreformatted">
    <w:name w:val="HTML Preformatted"/>
    <w:basedOn w:val="Normal"/>
    <w:link w:val="HTMLPreformattedChar"/>
    <w:rsid w:val="0027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70DBB"/>
    <w:rPr>
      <w:rFonts w:ascii="Courier New" w:eastAsia="Times New Roman" w:hAnsi="Courier New" w:cs="Courier New"/>
      <w:sz w:val="20"/>
      <w:szCs w:val="20"/>
    </w:rPr>
  </w:style>
  <w:style w:type="paragraph" w:styleId="NormalWeb">
    <w:name w:val="Normal (Web)"/>
    <w:basedOn w:val="Normal"/>
    <w:uiPriority w:val="99"/>
    <w:rsid w:val="00270DBB"/>
    <w:pPr>
      <w:spacing w:before="100" w:beforeAutospacing="1" w:after="100" w:afterAutospacing="1"/>
      <w:ind w:left="0"/>
    </w:pPr>
    <w:rPr>
      <w:rFonts w:ascii="Times New Roman" w:eastAsia="Times New Roman" w:hAnsi="Times New Roman" w:cs="Times New Roman"/>
      <w:szCs w:val="24"/>
    </w:rPr>
  </w:style>
  <w:style w:type="paragraph" w:customStyle="1" w:styleId="Bullet2">
    <w:name w:val="Bullet 2"/>
    <w:basedOn w:val="Normal"/>
    <w:rsid w:val="00270DBB"/>
    <w:pPr>
      <w:numPr>
        <w:numId w:val="7"/>
      </w:numPr>
      <w:spacing w:before="0" w:after="240"/>
    </w:pPr>
    <w:rPr>
      <w:rFonts w:eastAsia="Times New Roman" w:cs="Times New Roman"/>
      <w:sz w:val="22"/>
      <w:szCs w:val="24"/>
    </w:rPr>
  </w:style>
  <w:style w:type="paragraph" w:styleId="DocumentMap">
    <w:name w:val="Document Map"/>
    <w:basedOn w:val="Normal"/>
    <w:link w:val="DocumentMapChar"/>
    <w:semiHidden/>
    <w:rsid w:val="00270DBB"/>
    <w:pPr>
      <w:shd w:val="clear" w:color="auto" w:fill="000080"/>
      <w:spacing w:before="0" w:after="0"/>
      <w:ind w:lef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70DBB"/>
    <w:rPr>
      <w:rFonts w:ascii="Tahoma" w:eastAsia="Times New Roman" w:hAnsi="Tahoma" w:cs="Tahoma"/>
      <w:sz w:val="20"/>
      <w:szCs w:val="20"/>
      <w:shd w:val="clear" w:color="auto" w:fill="000080"/>
    </w:rPr>
  </w:style>
  <w:style w:type="character" w:customStyle="1" w:styleId="enumxml1">
    <w:name w:val="enumxml1"/>
    <w:rsid w:val="00B57CCF"/>
    <w:rPr>
      <w:b/>
      <w:bCs/>
    </w:rPr>
  </w:style>
  <w:style w:type="character" w:customStyle="1" w:styleId="ptext-115">
    <w:name w:val="ptext-115"/>
    <w:rsid w:val="00B57CCF"/>
  </w:style>
  <w:style w:type="character" w:customStyle="1" w:styleId="ptext-25">
    <w:name w:val="ptext-25"/>
    <w:rsid w:val="00B57CCF"/>
  </w:style>
  <w:style w:type="character" w:styleId="Emphasis">
    <w:name w:val="Emphasis"/>
    <w:uiPriority w:val="20"/>
    <w:qFormat/>
    <w:rsid w:val="00B57CCF"/>
    <w:rPr>
      <w:i/>
      <w:iCs/>
    </w:rPr>
  </w:style>
  <w:style w:type="character" w:customStyle="1" w:styleId="contents">
    <w:name w:val="contents"/>
    <w:rsid w:val="00B57CCF"/>
  </w:style>
  <w:style w:type="character" w:customStyle="1" w:styleId="sectno">
    <w:name w:val="sectno"/>
    <w:rsid w:val="00B57CCF"/>
  </w:style>
  <w:style w:type="character" w:customStyle="1" w:styleId="subject">
    <w:name w:val="subject"/>
    <w:rsid w:val="00B57CCF"/>
  </w:style>
  <w:style w:type="paragraph" w:customStyle="1" w:styleId="Default">
    <w:name w:val="Default"/>
    <w:rsid w:val="00B5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BX1Outline">
    <w:name w:val="HB X.1 Outline"/>
    <w:basedOn w:val="HBX1Text"/>
    <w:next w:val="HBX1Text"/>
    <w:qFormat/>
    <w:rsid w:val="004613EC"/>
    <w:pPr>
      <w:numPr>
        <w:numId w:val="54"/>
      </w:numPr>
      <w:spacing w:line="360" w:lineRule="auto"/>
    </w:pPr>
    <w:rPr>
      <w:rFonts w:ascii="Arial Bold" w:hAnsi="Arial Bold"/>
      <w:b/>
      <w:smallCaps/>
    </w:rPr>
  </w:style>
  <w:style w:type="character" w:styleId="LineNumber">
    <w:name w:val="line number"/>
    <w:basedOn w:val="DefaultParagraphFont"/>
    <w:uiPriority w:val="99"/>
    <w:semiHidden/>
    <w:unhideWhenUsed/>
    <w:rsid w:val="0036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149">
      <w:bodyDiv w:val="1"/>
      <w:marLeft w:val="0"/>
      <w:marRight w:val="0"/>
      <w:marTop w:val="0"/>
      <w:marBottom w:val="0"/>
      <w:divBdr>
        <w:top w:val="none" w:sz="0" w:space="0" w:color="auto"/>
        <w:left w:val="none" w:sz="0" w:space="0" w:color="auto"/>
        <w:bottom w:val="none" w:sz="0" w:space="0" w:color="auto"/>
        <w:right w:val="none" w:sz="0" w:space="0" w:color="auto"/>
      </w:divBdr>
    </w:div>
    <w:div w:id="91704325">
      <w:bodyDiv w:val="1"/>
      <w:marLeft w:val="0"/>
      <w:marRight w:val="0"/>
      <w:marTop w:val="0"/>
      <w:marBottom w:val="0"/>
      <w:divBdr>
        <w:top w:val="none" w:sz="0" w:space="0" w:color="auto"/>
        <w:left w:val="none" w:sz="0" w:space="0" w:color="auto"/>
        <w:bottom w:val="none" w:sz="0" w:space="0" w:color="auto"/>
        <w:right w:val="none" w:sz="0" w:space="0" w:color="auto"/>
      </w:divBdr>
    </w:div>
    <w:div w:id="1388260116">
      <w:bodyDiv w:val="1"/>
      <w:marLeft w:val="0"/>
      <w:marRight w:val="0"/>
      <w:marTop w:val="0"/>
      <w:marBottom w:val="0"/>
      <w:divBdr>
        <w:top w:val="none" w:sz="0" w:space="0" w:color="auto"/>
        <w:left w:val="none" w:sz="0" w:space="0" w:color="auto"/>
        <w:bottom w:val="none" w:sz="0" w:space="0" w:color="auto"/>
        <w:right w:val="none" w:sz="0" w:space="0" w:color="auto"/>
      </w:divBdr>
    </w:div>
    <w:div w:id="21223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HUD?src=/program_offices/administration/hudclips/handbooks/oigh/200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hud.gov/hudportal/documents/huddoc?id=92466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a102385-7cb5-46f3-aecd-e31728eb70fe">HUDDASMFH-981-239</_dlc_DocId>
    <_dlc_DocIdUrl xmlns="ea102385-7cb5-46f3-aecd-e31728eb70fe">
      <Url>http://hudsharepoint.hud.gov/sites/DASMFH/OMAM/ppsd/Revisions/_layouts/DocIdRedir.aspx?ID=HUDDASMFH-981-239</Url>
      <Description>HUDDASMFH-981-239</Description>
    </_dlc_DocIdUrl>
    <Version_x0020_Comments xmlns="b0cede2e-0425-46a1-b1b7-2ec544c171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F95A4AB0B6CB42BDC6B8E56E5E5F72" ma:contentTypeVersion="1" ma:contentTypeDescription="Create a new document." ma:contentTypeScope="" ma:versionID="04cd417592d5c3027394967006b9b0b7">
  <xsd:schema xmlns:xsd="http://www.w3.org/2001/XMLSchema" xmlns:xs="http://www.w3.org/2001/XMLSchema" xmlns:p="http://schemas.microsoft.com/office/2006/metadata/properties" xmlns:ns2="ea102385-7cb5-46f3-aecd-e31728eb70fe" xmlns:ns3="b0cede2e-0425-46a1-b1b7-2ec544c171ac" targetNamespace="http://schemas.microsoft.com/office/2006/metadata/properties" ma:root="true" ma:fieldsID="88187e7bb42c26a284b441c8c8b074e1" ns2:_="" ns3:_="">
    <xsd:import namespace="ea102385-7cb5-46f3-aecd-e31728eb70fe"/>
    <xsd:import namespace="b0cede2e-0425-46a1-b1b7-2ec544c171ac"/>
    <xsd:element name="properties">
      <xsd:complexType>
        <xsd:sequence>
          <xsd:element name="documentManagement">
            <xsd:complexType>
              <xsd:all>
                <xsd:element ref="ns2:_dlc_DocId" minOccurs="0"/>
                <xsd:element ref="ns2:_dlc_DocIdUrl" minOccurs="0"/>
                <xsd:element ref="ns2:_dlc_DocIdPersistId" minOccurs="0"/>
                <xsd:element ref="ns3:Version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02385-7cb5-46f3-aecd-e31728eb70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cede2e-0425-46a1-b1b7-2ec544c171ac" elementFormDefault="qualified">
    <xsd:import namespace="http://schemas.microsoft.com/office/2006/documentManagement/types"/>
    <xsd:import namespace="http://schemas.microsoft.com/office/infopath/2007/PartnerControls"/>
    <xsd:element name="Version_x0020_Comments" ma:index="11" nillable="true" ma:displayName="Version Comments" ma:internalName="Version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9D6F-E2BB-4998-8493-FBFAA80605BE}">
  <ds:schemaRefs>
    <ds:schemaRef ds:uri="http://schemas.microsoft.com/sharepoint/v3/contenttype/forms"/>
  </ds:schemaRefs>
</ds:datastoreItem>
</file>

<file path=customXml/itemProps2.xml><?xml version="1.0" encoding="utf-8"?>
<ds:datastoreItem xmlns:ds="http://schemas.openxmlformats.org/officeDocument/2006/customXml" ds:itemID="{1F256901-7304-4DC5-B007-E836E01AF6F4}">
  <ds:schemaRefs>
    <ds:schemaRef ds:uri="http://schemas.microsoft.com/sharepoint/events"/>
  </ds:schemaRefs>
</ds:datastoreItem>
</file>

<file path=customXml/itemProps3.xml><?xml version="1.0" encoding="utf-8"?>
<ds:datastoreItem xmlns:ds="http://schemas.openxmlformats.org/officeDocument/2006/customXml" ds:itemID="{1878BEB9-5070-468F-85EC-C311A07B99AD}">
  <ds:schemaRefs>
    <ds:schemaRef ds:uri="http://schemas.microsoft.com/office/2006/documentManagement/types"/>
    <ds:schemaRef ds:uri="http://schemas.microsoft.com/office/infopath/2007/PartnerControls"/>
    <ds:schemaRef ds:uri="ea102385-7cb5-46f3-aecd-e31728eb70fe"/>
    <ds:schemaRef ds:uri="http://purl.org/dc/elements/1.1/"/>
    <ds:schemaRef ds:uri="http://schemas.microsoft.com/office/2006/metadata/properties"/>
    <ds:schemaRef ds:uri="http://purl.org/dc/terms/"/>
    <ds:schemaRef ds:uri="http://schemas.openxmlformats.org/package/2006/metadata/core-properties"/>
    <ds:schemaRef ds:uri="b0cede2e-0425-46a1-b1b7-2ec544c171ac"/>
    <ds:schemaRef ds:uri="http://www.w3.org/XML/1998/namespace"/>
    <ds:schemaRef ds:uri="http://purl.org/dc/dcmitype/"/>
  </ds:schemaRefs>
</ds:datastoreItem>
</file>

<file path=customXml/itemProps4.xml><?xml version="1.0" encoding="utf-8"?>
<ds:datastoreItem xmlns:ds="http://schemas.openxmlformats.org/officeDocument/2006/customXml" ds:itemID="{AB3E5E13-C719-479B-83F6-FFA1D523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02385-7cb5-46f3-aecd-e31728eb70fe"/>
    <ds:schemaRef ds:uri="b0cede2e-0425-46a1-b1b7-2ec544c17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93CF7D-B4F8-411B-8DA3-D468E8C4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9387</Words>
  <Characters>53506</Characters>
  <Application>Microsoft Office Word</Application>
  <DocSecurity>8</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iWorks</dc:creator>
  <cp:lastModifiedBy>Juliana Bilowich</cp:lastModifiedBy>
  <cp:revision>2</cp:revision>
  <cp:lastPrinted>2015-07-17T14:04:00Z</cp:lastPrinted>
  <dcterms:created xsi:type="dcterms:W3CDTF">2016-12-06T22:56:00Z</dcterms:created>
  <dcterms:modified xsi:type="dcterms:W3CDTF">2016-12-06T22:56:00Z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0x0101001FF95A4AB0B6CB42BDC6B8E56E5E5F72</vt:lpwstr>
  </property>
  <property fmtid="{D5CDD505-2E9C-101B-9397-08002B2CF9AE}" pid="4" name="_dlc_DocIdItemGuid">
    <vt:lpwstr>0539c41b-0d3d-4c17-beb2-ec590108e2c8</vt:lpwstr>
  </property>
</Properties>
</file>