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3A969" w14:textId="04705170" w:rsidR="00A00357" w:rsidRDefault="00A00357" w:rsidP="00A00357">
      <w:pPr>
        <w:rPr>
          <w:rFonts w:ascii="Eras" w:hAnsi="Eras"/>
          <w:sz w:val="80"/>
          <w:szCs w:val="80"/>
        </w:rPr>
      </w:pPr>
      <w:r>
        <w:rPr>
          <w:noProof/>
        </w:rPr>
        <mc:AlternateContent>
          <mc:Choice Requires="wps">
            <w:drawing>
              <wp:anchor distT="0" distB="0" distL="114300" distR="114300" simplePos="0" relativeHeight="251659264" behindDoc="0" locked="0" layoutInCell="1" allowOverlap="1" wp14:anchorId="1D62B740" wp14:editId="6F1CC7E5">
                <wp:simplePos x="0" y="0"/>
                <wp:positionH relativeFrom="column">
                  <wp:posOffset>4924425</wp:posOffset>
                </wp:positionH>
                <wp:positionV relativeFrom="paragraph">
                  <wp:posOffset>95250</wp:posOffset>
                </wp:positionV>
                <wp:extent cx="257175" cy="257175"/>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0">
                          <a:solidFill>
                            <a:srgbClr val="FFFFFF"/>
                          </a:solidFill>
                          <a:miter lim="800000"/>
                          <a:headEnd/>
                          <a:tailEnd/>
                        </a:ln>
                      </wps:spPr>
                      <wps:txbx>
                        <w:txbxContent>
                          <w:p w14:paraId="5602A2D7" w14:textId="77777777" w:rsidR="00A00357" w:rsidRDefault="00A00357" w:rsidP="00A00357">
                            <w:r>
                              <w:rPr>
                                <w:sz w:val="16"/>
                                <w:szCs w:val="16"/>
                              </w:rPr>
                              <w:t>TM</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B740" id="_x0000_t202" coordsize="21600,21600" o:spt="202" path="m,l,21600r21600,l21600,xe">
                <v:stroke joinstyle="miter"/>
                <v:path gradientshapeok="t" o:connecttype="rect"/>
              </v:shapetype>
              <v:shape id="Text Box 3" o:spid="_x0000_s1026" type="#_x0000_t202" style="position:absolute;margin-left:387.75pt;margin-top:7.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" strokecolor="white" strokeweight="0">
                <v:textbox inset="0">
                  <w:txbxContent>
                    <w:p w14:paraId="5602A2D7" w14:textId="77777777" w:rsidR="00A00357" w:rsidRDefault="00A00357" w:rsidP="00A00357">
                      <w:r>
                        <w:rPr>
                          <w:sz w:val="16"/>
                          <w:szCs w:val="16"/>
                        </w:rPr>
                        <w:t>TM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2D9E7E" wp14:editId="77261CD0">
                <wp:simplePos x="0" y="0"/>
                <wp:positionH relativeFrom="column">
                  <wp:posOffset>3105150</wp:posOffset>
                </wp:positionH>
                <wp:positionV relativeFrom="paragraph">
                  <wp:posOffset>-76200</wp:posOffset>
                </wp:positionV>
                <wp:extent cx="2000250" cy="73342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33425"/>
                        </a:xfrm>
                        <a:prstGeom prst="rect">
                          <a:avLst/>
                        </a:prstGeom>
                        <a:solidFill>
                          <a:srgbClr val="FFFFFF"/>
                        </a:solidFill>
                        <a:ln w="0">
                          <a:solidFill>
                            <a:srgbClr val="FFFFFF"/>
                          </a:solidFill>
                          <a:miter lim="800000"/>
                          <a:headEnd/>
                          <a:tailEnd/>
                        </a:ln>
                      </wps:spPr>
                      <wps:txbx>
                        <w:txbxContent>
                          <w:p w14:paraId="019C41C8" w14:textId="77777777" w:rsidR="00A00357" w:rsidRDefault="00A00357" w:rsidP="00A00357">
                            <w:pPr>
                              <w:rPr>
                                <w:color w:val="000000"/>
                                <w:sz w:val="96"/>
                                <w:szCs w:val="96"/>
                              </w:rPr>
                            </w:pPr>
                            <w:r>
                              <w:rPr>
                                <w:color w:val="000000"/>
                                <w:sz w:val="96"/>
                                <w:szCs w:val="96"/>
                              </w:rPr>
                              <w:t>nalysi</w:t>
                            </w:r>
                            <w:r>
                              <w:rPr>
                                <w:sz w:val="96"/>
                                <w:szCs w:val="96"/>
                              </w:rPr>
                              <w:t>s</w:t>
                            </w:r>
                          </w:p>
                        </w:txbxContent>
                      </wps:txbx>
                      <wps:bodyPr rot="0" vert="horz" wrap="square" lIns="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9E7E" id="Text Box 2" o:spid="_x0000_s1027" type="#_x0000_t202" style="position:absolute;margin-left:244.5pt;margin-top:-6pt;width:15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" strokecolor="white" strokeweight="0">
                <v:textbox inset="0,,,0">
                  <w:txbxContent>
                    <w:p w14:paraId="019C41C8" w14:textId="77777777" w:rsidR="00A00357" w:rsidRDefault="00A00357" w:rsidP="00A00357">
                      <w:pPr>
                        <w:rPr>
                          <w:color w:val="000000"/>
                          <w:sz w:val="96"/>
                          <w:szCs w:val="96"/>
                        </w:rPr>
                      </w:pPr>
                      <w:r>
                        <w:rPr>
                          <w:color w:val="000000"/>
                          <w:sz w:val="96"/>
                          <w:szCs w:val="96"/>
                        </w:rPr>
                        <w:t>nalysi</w:t>
                      </w:r>
                      <w:r>
                        <w:rPr>
                          <w:sz w:val="96"/>
                          <w:szCs w:val="96"/>
                        </w:rPr>
                        <w:t>s</w:t>
                      </w:r>
                    </w:p>
                  </w:txbxContent>
                </v:textbox>
              </v:shape>
            </w:pict>
          </mc:Fallback>
        </mc:AlternateContent>
      </w:r>
      <w:r>
        <w:rPr>
          <w:rFonts w:ascii="Times New Roman MT" w:hAnsi="Times New Roman MT"/>
          <w:b/>
          <w:bCs/>
          <w:noProof/>
          <w:sz w:val="36"/>
          <w:szCs w:val="36"/>
        </w:rPr>
        <w:drawing>
          <wp:inline distT="0" distB="0" distL="0" distR="0" wp14:anchorId="0C2C5DFD" wp14:editId="1D1E614B">
            <wp:extent cx="3094355" cy="636905"/>
            <wp:effectExtent l="19050" t="0" r="0" b="0"/>
            <wp:docPr id="1" name="Picture 1" descr="NAHMA%20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HMA%20logo2c"/>
                    <pic:cNvPicPr>
                      <a:picLocks noChangeAspect="1" noChangeArrowheads="1"/>
                    </pic:cNvPicPr>
                  </pic:nvPicPr>
                  <pic:blipFill>
                    <a:blip r:embed="rId6" r:link="rId7" cstate="print"/>
                    <a:srcRect/>
                    <a:stretch>
                      <a:fillRect/>
                    </a:stretch>
                  </pic:blipFill>
                  <pic:spPr bwMode="auto">
                    <a:xfrm>
                      <a:off x="0" y="0"/>
                      <a:ext cx="3094355" cy="636905"/>
                    </a:xfrm>
                    <a:prstGeom prst="rect">
                      <a:avLst/>
                    </a:prstGeom>
                    <a:noFill/>
                    <a:ln w="9525">
                      <a:noFill/>
                      <a:miter lim="800000"/>
                      <a:headEnd/>
                      <a:tailEnd/>
                    </a:ln>
                  </pic:spPr>
                </pic:pic>
              </a:graphicData>
            </a:graphic>
          </wp:inline>
        </w:drawing>
      </w:r>
      <w:r w:rsidR="00D23F42">
        <w:rPr>
          <w:rFonts w:ascii="Eras" w:hAnsi="Eras"/>
          <w:sz w:val="80"/>
          <w:szCs w:val="80"/>
        </w:rPr>
        <w:t xml:space="preserve"> </w:t>
      </w:r>
    </w:p>
    <w:p w14:paraId="38070BC5" w14:textId="77777777" w:rsidR="00A00357" w:rsidRDefault="00A00357" w:rsidP="00A00357">
      <w:pPr>
        <w:rPr>
          <w:rFonts w:ascii="Times New Roman" w:hAnsi="Times New Roman" w:cs="Times New Roman"/>
          <w:b/>
          <w:bCs/>
          <w:sz w:val="28"/>
          <w:szCs w:val="28"/>
        </w:rPr>
      </w:pPr>
      <w:r>
        <w:rPr>
          <w:b/>
          <w:bCs/>
          <w:sz w:val="28"/>
          <w:szCs w:val="28"/>
        </w:rPr>
        <w:t>Ensuring NAHMA Members Receive the Latest News and Analysis of Breaking Issues in Affordable Housing</w:t>
      </w:r>
    </w:p>
    <w:p w14:paraId="015B55B8" w14:textId="77777777" w:rsidR="00A00357" w:rsidRDefault="00A00357" w:rsidP="00A00357">
      <w:pPr>
        <w:rPr>
          <w:b/>
          <w:bCs/>
          <w:sz w:val="28"/>
          <w:szCs w:val="28"/>
        </w:rPr>
      </w:pPr>
      <w:r>
        <w:rPr>
          <w:noProof/>
        </w:rPr>
        <mc:AlternateContent>
          <mc:Choice Requires="wps">
            <w:drawing>
              <wp:anchor distT="0" distB="0" distL="114300" distR="114300" simplePos="0" relativeHeight="251661312" behindDoc="0" locked="0" layoutInCell="1" allowOverlap="1" wp14:anchorId="31873E6F" wp14:editId="2C72E70A">
                <wp:simplePos x="0" y="0"/>
                <wp:positionH relativeFrom="column">
                  <wp:posOffset>5715000</wp:posOffset>
                </wp:positionH>
                <wp:positionV relativeFrom="paragraph">
                  <wp:posOffset>56515</wp:posOffset>
                </wp:positionV>
                <wp:extent cx="228600" cy="342900"/>
                <wp:effectExtent l="9525" t="8890" r="9525"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0">
                          <a:solidFill>
                            <a:srgbClr val="FFFFFF"/>
                          </a:solidFill>
                          <a:miter lim="800000"/>
                          <a:headEnd/>
                          <a:tailEnd/>
                        </a:ln>
                      </wps:spPr>
                      <wps:txbx>
                        <w:txbxContent>
                          <w:p w14:paraId="6D75F2A5" w14:textId="77777777" w:rsidR="00A00357" w:rsidRDefault="00A00357" w:rsidP="00A00357">
                            <w:r>
                              <w:rPr>
                                <w:rFonts w:ascii="Times New Roman" w:eastAsia="Times New Roman" w:hAnsi="Times New Roman" w:cs="Times New Roman"/>
                                <w:noProof/>
                                <w:sz w:val="20"/>
                                <w:szCs w:val="20"/>
                              </w:rPr>
                              <w:drawing>
                                <wp:inline distT="0" distB="0" distL="0" distR="0" wp14:anchorId="58942C23" wp14:editId="476E12E8">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8"/>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3E6F" id="Text Box 4" o:spid="_x0000_s1028" type="#_x0000_t202" style="position:absolute;margin-left:450pt;margin-top:4.45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" strokecolor="white" strokeweight="0">
                <v:textbox inset="0,,0,0">
                  <w:txbxContent>
                    <w:p w14:paraId="6D75F2A5" w14:textId="77777777" w:rsidR="00A00357" w:rsidRDefault="00A00357" w:rsidP="00A00357">
                      <w:r>
                        <w:rPr>
                          <w:rFonts w:ascii="Times New Roman" w:eastAsia="Times New Roman" w:hAnsi="Times New Roman" w:cs="Times New Roman"/>
                          <w:noProof/>
                          <w:sz w:val="20"/>
                          <w:szCs w:val="20"/>
                        </w:rPr>
                        <w:drawing>
                          <wp:inline distT="0" distB="0" distL="0" distR="0" wp14:anchorId="58942C23" wp14:editId="476E12E8">
                            <wp:extent cx="245110" cy="260985"/>
                            <wp:effectExtent l="19050" t="0" r="2540" b="0"/>
                            <wp:docPr id="2" name="Picture 2" descr="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
                                    <pic:cNvPicPr>
                                      <a:picLocks noChangeAspect="1" noChangeArrowheads="1"/>
                                    </pic:cNvPicPr>
                                  </pic:nvPicPr>
                                  <pic:blipFill>
                                    <a:blip r:embed="rId8"/>
                                    <a:srcRect/>
                                    <a:stretch>
                                      <a:fillRect/>
                                    </a:stretch>
                                  </pic:blipFill>
                                  <pic:spPr bwMode="auto">
                                    <a:xfrm>
                                      <a:off x="0" y="0"/>
                                      <a:ext cx="245110" cy="260985"/>
                                    </a:xfrm>
                                    <a:prstGeom prst="rect">
                                      <a:avLst/>
                                    </a:prstGeom>
                                    <a:noFill/>
                                    <a:ln w="9525">
                                      <a:noFill/>
                                      <a:miter lim="800000"/>
                                      <a:headEnd/>
                                      <a:tailEnd/>
                                    </a:ln>
                                  </pic:spPr>
                                </pic:pic>
                              </a:graphicData>
                            </a:graphic>
                          </wp:inline>
                        </w:drawing>
                      </w:r>
                    </w:p>
                  </w:txbxContent>
                </v:textbox>
              </v:shape>
            </w:pict>
          </mc:Fallback>
        </mc:AlternateContent>
      </w:r>
    </w:p>
    <w:p w14:paraId="27F41C75" w14:textId="2AEBD06A" w:rsidR="00A00357" w:rsidRDefault="00A00357" w:rsidP="00A00357">
      <w:pPr>
        <w:rPr>
          <w:sz w:val="16"/>
          <w:szCs w:val="16"/>
        </w:rPr>
      </w:pPr>
      <w:r>
        <w:rPr>
          <w:sz w:val="16"/>
          <w:szCs w:val="16"/>
        </w:rPr>
        <w:t>National Affordable Housing Management Association</w:t>
      </w:r>
      <w:r w:rsidR="00D23F42">
        <w:rPr>
          <w:sz w:val="16"/>
          <w:szCs w:val="16"/>
        </w:rPr>
        <w:t xml:space="preserve"> </w:t>
      </w:r>
      <w:r>
        <w:rPr>
          <w:sz w:val="16"/>
          <w:szCs w:val="16"/>
        </w:rPr>
        <w:t xml:space="preserve">– 400 N. Columbus Street, Suite 203 - Alexandria, VA 22314 </w:t>
      </w:r>
    </w:p>
    <w:p w14:paraId="5AF47937" w14:textId="77777777" w:rsidR="00A00357" w:rsidRDefault="00A00357" w:rsidP="00A00357">
      <w:pPr>
        <w:rPr>
          <w:sz w:val="16"/>
          <w:szCs w:val="16"/>
        </w:rPr>
      </w:pPr>
      <w:r>
        <w:rPr>
          <w:sz w:val="16"/>
          <w:szCs w:val="16"/>
        </w:rPr>
        <w:t xml:space="preserve">Phone 703-683-8630 - Fax 703-683-8634 - </w:t>
      </w:r>
      <w:hyperlink r:id="rId9" w:history="1">
        <w:r>
          <w:rPr>
            <w:rStyle w:val="Hyperlink"/>
            <w:sz w:val="16"/>
            <w:szCs w:val="16"/>
          </w:rPr>
          <w:t>www.nahma.org</w:t>
        </w:r>
      </w:hyperlink>
    </w:p>
    <w:p w14:paraId="6FDB079C" w14:textId="77777777" w:rsidR="00A00357" w:rsidRDefault="00A00357" w:rsidP="00A00357">
      <w:pPr>
        <w:pBdr>
          <w:top w:val="single" w:sz="4" w:space="1" w:color="auto"/>
        </w:pBdr>
        <w:rPr>
          <w:sz w:val="16"/>
          <w:szCs w:val="16"/>
        </w:rPr>
      </w:pPr>
    </w:p>
    <w:p w14:paraId="40BFDEE9" w14:textId="4B8F31D7" w:rsidR="00A00357" w:rsidRPr="00603058" w:rsidRDefault="00FB2659" w:rsidP="00A00357">
      <w:r>
        <w:t>December</w:t>
      </w:r>
      <w:r w:rsidR="009D0F5F" w:rsidRPr="00603058">
        <w:t xml:space="preserve"> </w:t>
      </w:r>
      <w:r>
        <w:t>11</w:t>
      </w:r>
      <w:r w:rsidR="009D0F5F" w:rsidRPr="00603058">
        <w:t>, 2020</w:t>
      </w:r>
      <w:r w:rsidR="00A00357" w:rsidRPr="00603058">
        <w:tab/>
      </w:r>
      <w:r w:rsidR="00E514C6" w:rsidRPr="00603058">
        <w:tab/>
      </w:r>
      <w:r w:rsidR="00E514C6" w:rsidRPr="00603058">
        <w:tab/>
      </w:r>
      <w:r w:rsidR="00E514C6" w:rsidRPr="00603058">
        <w:tab/>
      </w:r>
      <w:r w:rsidR="00E514C6" w:rsidRPr="00603058">
        <w:tab/>
      </w:r>
      <w:r w:rsidR="00E514C6" w:rsidRPr="00603058">
        <w:tab/>
      </w:r>
      <w:r w:rsidR="00D23F42">
        <w:t xml:space="preserve"> </w:t>
      </w:r>
      <w:proofErr w:type="spellStart"/>
      <w:r>
        <w:t>NAHMAnalysis</w:t>
      </w:r>
      <w:proofErr w:type="spellEnd"/>
      <w:r>
        <w:t xml:space="preserve"> 2020-1211</w:t>
      </w:r>
    </w:p>
    <w:p w14:paraId="6F84BF83" w14:textId="77777777" w:rsidR="00EC7E22" w:rsidRPr="00603058" w:rsidRDefault="00EC7E22" w:rsidP="00A00357">
      <w:bookmarkStart w:id="0" w:name="_GoBack"/>
      <w:bookmarkEnd w:id="0"/>
    </w:p>
    <w:p w14:paraId="15CE77AE" w14:textId="4F77D01C" w:rsidR="00B5766B" w:rsidRPr="00603058" w:rsidRDefault="00FB2659" w:rsidP="00B5766B">
      <w:pPr>
        <w:jc w:val="center"/>
        <w:rPr>
          <w:b/>
          <w:sz w:val="28"/>
        </w:rPr>
      </w:pPr>
      <w:r>
        <w:rPr>
          <w:b/>
          <w:sz w:val="28"/>
        </w:rPr>
        <w:t xml:space="preserve">Recent </w:t>
      </w:r>
      <w:r w:rsidR="00B5766B" w:rsidRPr="00603058">
        <w:rPr>
          <w:b/>
          <w:sz w:val="28"/>
        </w:rPr>
        <w:t xml:space="preserve">Research </w:t>
      </w:r>
      <w:r w:rsidRPr="00603058">
        <w:rPr>
          <w:b/>
          <w:sz w:val="28"/>
        </w:rPr>
        <w:t>Highlights</w:t>
      </w:r>
      <w:r>
        <w:rPr>
          <w:b/>
          <w:sz w:val="28"/>
        </w:rPr>
        <w:t xml:space="preserve"> the</w:t>
      </w:r>
      <w:r w:rsidR="00B5766B" w:rsidRPr="00603058">
        <w:rPr>
          <w:b/>
          <w:sz w:val="28"/>
        </w:rPr>
        <w:t xml:space="preserve"> Impact </w:t>
      </w:r>
      <w:r>
        <w:rPr>
          <w:b/>
          <w:sz w:val="28"/>
        </w:rPr>
        <w:t>of COVID-19 on Housing Provider</w:t>
      </w:r>
      <w:r w:rsidR="00D23F42">
        <w:rPr>
          <w:b/>
          <w:sz w:val="28"/>
        </w:rPr>
        <w:t>s</w:t>
      </w:r>
      <w:r>
        <w:rPr>
          <w:b/>
          <w:sz w:val="28"/>
        </w:rPr>
        <w:t xml:space="preserve"> and Their Operations</w:t>
      </w:r>
    </w:p>
    <w:p w14:paraId="12A84B4E" w14:textId="77777777" w:rsidR="00B5766B" w:rsidRDefault="00B5766B" w:rsidP="00B5766B">
      <w:pPr>
        <w:rPr>
          <w:b/>
        </w:rPr>
      </w:pPr>
    </w:p>
    <w:p w14:paraId="5D5DBC36" w14:textId="12F207D3" w:rsidR="00B5766B" w:rsidRPr="00603058" w:rsidRDefault="00B5766B" w:rsidP="00334DA0">
      <w:pPr>
        <w:rPr>
          <w:b/>
        </w:rPr>
      </w:pPr>
      <w:r w:rsidRPr="00603058">
        <w:rPr>
          <w:b/>
        </w:rPr>
        <w:t xml:space="preserve">Impacts of </w:t>
      </w:r>
      <w:r w:rsidR="009B7CE5">
        <w:rPr>
          <w:b/>
        </w:rPr>
        <w:t>the Pandemic</w:t>
      </w:r>
      <w:r w:rsidRPr="00603058">
        <w:rPr>
          <w:b/>
        </w:rPr>
        <w:t xml:space="preserve"> </w:t>
      </w:r>
      <w:r w:rsidR="009B668B" w:rsidRPr="00603058">
        <w:rPr>
          <w:b/>
        </w:rPr>
        <w:t>on</w:t>
      </w:r>
      <w:r w:rsidRPr="00603058">
        <w:rPr>
          <w:b/>
        </w:rPr>
        <w:t xml:space="preserve"> </w:t>
      </w:r>
      <w:r w:rsidR="009B7CE5">
        <w:rPr>
          <w:b/>
        </w:rPr>
        <w:t>Affordable Housing</w:t>
      </w:r>
      <w:r w:rsidRPr="00603058">
        <w:rPr>
          <w:b/>
        </w:rPr>
        <w:t xml:space="preserve"> Providers</w:t>
      </w:r>
    </w:p>
    <w:p w14:paraId="700A4B64" w14:textId="77777777" w:rsidR="00B5766B" w:rsidRPr="00603058" w:rsidRDefault="00B5766B" w:rsidP="00B5766B">
      <w:pPr>
        <w:rPr>
          <w:b/>
        </w:rPr>
      </w:pPr>
    </w:p>
    <w:p w14:paraId="55FB2B1F" w14:textId="4E087608" w:rsidR="00B5766B" w:rsidRPr="00603058" w:rsidRDefault="00334DA0" w:rsidP="00B5766B">
      <w:r w:rsidRPr="00603058">
        <w:t xml:space="preserve">Over the past few months, research has </w:t>
      </w:r>
      <w:r w:rsidR="00D23F42">
        <w:t>documented</w:t>
      </w:r>
      <w:r w:rsidRPr="00603058">
        <w:t xml:space="preserve"> the COVID-19 pandemic’s adverse</w:t>
      </w:r>
      <w:r w:rsidR="00B5766B" w:rsidRPr="00603058">
        <w:t xml:space="preserve"> impact on housing providers and their operations, </w:t>
      </w:r>
      <w:r w:rsidR="00FB2659">
        <w:t>particularly resulting in</w:t>
      </w:r>
      <w:r w:rsidR="00B5766B" w:rsidRPr="00603058">
        <w:t xml:space="preserve"> increased costs and reduced revenue.</w:t>
      </w:r>
      <w:r w:rsidR="00D23F42">
        <w:t xml:space="preserve"> </w:t>
      </w:r>
      <w:r w:rsidR="00B5766B" w:rsidRPr="00603058">
        <w:t xml:space="preserve">In August 2020, </w:t>
      </w:r>
      <w:proofErr w:type="spellStart"/>
      <w:r w:rsidR="00B5766B" w:rsidRPr="00603058">
        <w:t>NDP|Analytics</w:t>
      </w:r>
      <w:proofErr w:type="spellEnd"/>
      <w:r w:rsidR="00B5766B" w:rsidRPr="00603058">
        <w:t xml:space="preserve"> and the National Leased Housing Association</w:t>
      </w:r>
      <w:r w:rsidR="00CE5EE5">
        <w:t xml:space="preserve"> (NLHA)</w:t>
      </w:r>
      <w:r w:rsidR="00B5766B" w:rsidRPr="00603058">
        <w:t xml:space="preserve"> conducted an online survey of low- and moderate-income housing providers to assess the impact of COVID-19 on operations, revenue, and future investments.</w:t>
      </w:r>
      <w:r w:rsidR="009B668B" w:rsidRPr="00603058">
        <w:t xml:space="preserve"> </w:t>
      </w:r>
      <w:r w:rsidR="00B5766B" w:rsidRPr="00603058">
        <w:t xml:space="preserve">Many NAHMA members </w:t>
      </w:r>
      <w:r w:rsidR="005718DA">
        <w:t>responded to</w:t>
      </w:r>
      <w:r w:rsidR="00B5766B" w:rsidRPr="00603058">
        <w:t xml:space="preserve"> this survey</w:t>
      </w:r>
      <w:r w:rsidR="005718DA">
        <w:t xml:space="preserve"> and indicated many of the same issues that have been shared on NAHMA’s weekly COVID-19 member calls throughout the pandemic</w:t>
      </w:r>
      <w:r w:rsidR="00B5766B" w:rsidRPr="00603058">
        <w:t xml:space="preserve">. In late October, the survey’s findings were </w:t>
      </w:r>
      <w:r w:rsidR="00D23F42">
        <w:t>published</w:t>
      </w:r>
      <w:r w:rsidR="00B5766B" w:rsidRPr="00603058">
        <w:t xml:space="preserve"> in a report titled</w:t>
      </w:r>
      <w:hyperlink r:id="rId10" w:history="1">
        <w:r w:rsidR="00B5766B" w:rsidRPr="00603058">
          <w:rPr>
            <w:rStyle w:val="Hyperlink"/>
          </w:rPr>
          <w:t xml:space="preserve">, </w:t>
        </w:r>
        <w:r w:rsidR="00B5766B" w:rsidRPr="00603058">
          <w:rPr>
            <w:rStyle w:val="Hyperlink"/>
            <w:i/>
          </w:rPr>
          <w:t>Impacts of COVID-19 on Low- and Moderate Income Housing Providers</w:t>
        </w:r>
      </w:hyperlink>
      <w:r w:rsidR="00B5766B" w:rsidRPr="00603058">
        <w:rPr>
          <w:i/>
        </w:rPr>
        <w:t>.</w:t>
      </w:r>
      <w:r w:rsidR="005718DA">
        <w:t xml:space="preserve"> </w:t>
      </w:r>
      <w:r w:rsidR="009B668B" w:rsidRPr="00603058">
        <w:t xml:space="preserve">In addition to this report, </w:t>
      </w:r>
      <w:r w:rsidR="008F4206">
        <w:t>recent findings</w:t>
      </w:r>
      <w:r w:rsidR="009B668B" w:rsidRPr="00603058">
        <w:t xml:space="preserve"> </w:t>
      </w:r>
      <w:r w:rsidR="00290670">
        <w:t xml:space="preserve">from a </w:t>
      </w:r>
      <w:hyperlink r:id="rId11" w:history="1">
        <w:r w:rsidR="00290670" w:rsidRPr="00290670">
          <w:rPr>
            <w:rStyle w:val="Hyperlink"/>
          </w:rPr>
          <w:t>survey</w:t>
        </w:r>
      </w:hyperlink>
      <w:r w:rsidR="00290670">
        <w:t xml:space="preserve"> conducted by </w:t>
      </w:r>
      <w:proofErr w:type="spellStart"/>
      <w:r w:rsidR="00290670" w:rsidRPr="00290670">
        <w:t>Lead</w:t>
      </w:r>
      <w:r w:rsidR="00D23F42">
        <w:t>ing</w:t>
      </w:r>
      <w:r w:rsidR="00290670" w:rsidRPr="00290670">
        <w:t>Age</w:t>
      </w:r>
      <w:proofErr w:type="spellEnd"/>
      <w:r w:rsidR="00D23F42">
        <w:t xml:space="preserve"> highlight</w:t>
      </w:r>
      <w:r w:rsidR="009B668B" w:rsidRPr="00603058">
        <w:t xml:space="preserve"> how the pandemic is adversely impacting senior housing providers</w:t>
      </w:r>
      <w:r w:rsidR="00D23F42">
        <w:t>, and separately,</w:t>
      </w:r>
      <w:r w:rsidR="009B668B" w:rsidRPr="00603058">
        <w:t xml:space="preserve"> the </w:t>
      </w:r>
      <w:r w:rsidR="00290670" w:rsidRPr="008F4206">
        <w:t>Urban Institute examined</w:t>
      </w:r>
      <w:r w:rsidR="009B668B" w:rsidRPr="00603058">
        <w:t xml:space="preserve"> the pandemic</w:t>
      </w:r>
      <w:r w:rsidR="00290670">
        <w:t xml:space="preserve">’s </w:t>
      </w:r>
      <w:hyperlink r:id="rId12" w:history="1">
        <w:r w:rsidR="00290670" w:rsidRPr="008F4206">
          <w:rPr>
            <w:rStyle w:val="Hyperlink"/>
          </w:rPr>
          <w:t>impact</w:t>
        </w:r>
      </w:hyperlink>
      <w:r w:rsidR="009B668B" w:rsidRPr="00603058">
        <w:t xml:space="preserve"> on ”</w:t>
      </w:r>
      <w:r w:rsidR="001904F2" w:rsidRPr="00603058">
        <w:t>Mom-and-</w:t>
      </w:r>
      <w:r w:rsidR="009B668B" w:rsidRPr="00603058">
        <w:t>Pop” landlords.</w:t>
      </w:r>
      <w:r w:rsidR="00D23F42">
        <w:t xml:space="preserve"> </w:t>
      </w:r>
      <w:r w:rsidR="00B5766B" w:rsidRPr="00603058">
        <w:t xml:space="preserve">This </w:t>
      </w:r>
      <w:proofErr w:type="spellStart"/>
      <w:r w:rsidR="00B5766B" w:rsidRPr="00603058">
        <w:t>NAHMAnalysis</w:t>
      </w:r>
      <w:proofErr w:type="spellEnd"/>
      <w:r w:rsidR="00B5766B" w:rsidRPr="00603058">
        <w:t xml:space="preserve"> highlig</w:t>
      </w:r>
      <w:r w:rsidR="009B668B" w:rsidRPr="00603058">
        <w:t>hts key findings from the</w:t>
      </w:r>
      <w:r w:rsidRPr="00603058">
        <w:t>se</w:t>
      </w:r>
      <w:r w:rsidR="009B668B" w:rsidRPr="00603058">
        <w:t xml:space="preserve"> </w:t>
      </w:r>
      <w:r w:rsidR="008F4206">
        <w:t xml:space="preserve">three </w:t>
      </w:r>
      <w:r w:rsidR="009B668B" w:rsidRPr="00603058">
        <w:t>report</w:t>
      </w:r>
      <w:r w:rsidRPr="00603058">
        <w:t xml:space="preserve">s. </w:t>
      </w:r>
    </w:p>
    <w:p w14:paraId="1FB21E67" w14:textId="77777777" w:rsidR="00B5766B" w:rsidRPr="00603058" w:rsidRDefault="00B5766B" w:rsidP="00B5766B"/>
    <w:p w14:paraId="0F451C9A" w14:textId="1E03414A" w:rsidR="00B5766B" w:rsidRPr="00603058" w:rsidRDefault="00B5766B" w:rsidP="00B5766B">
      <w:pPr>
        <w:tabs>
          <w:tab w:val="left" w:pos="2980"/>
        </w:tabs>
      </w:pPr>
      <w:r w:rsidRPr="00603058">
        <w:rPr>
          <w:b/>
        </w:rPr>
        <w:t>Increased Operating Expenses</w:t>
      </w:r>
      <w:r w:rsidRPr="00603058">
        <w:t>:</w:t>
      </w:r>
      <w:r w:rsidR="00D23F42">
        <w:t xml:space="preserve"> </w:t>
      </w:r>
      <w:r w:rsidRPr="00603058">
        <w:t xml:space="preserve">The </w:t>
      </w:r>
      <w:r w:rsidR="00CE5EE5">
        <w:t xml:space="preserve">NLHA </w:t>
      </w:r>
      <w:r w:rsidRPr="00603058">
        <w:t xml:space="preserve">report </w:t>
      </w:r>
      <w:r w:rsidR="00CE5EE5">
        <w:t>finds</w:t>
      </w:r>
      <w:r w:rsidRPr="00603058">
        <w:t xml:space="preserve"> that nearly three-quarters of housing providers have increased their operating expenses due to the pandemic, </w:t>
      </w:r>
      <w:r w:rsidR="00A16D9E">
        <w:t xml:space="preserve">and </w:t>
      </w:r>
      <w:r w:rsidRPr="00603058">
        <w:t>specifically</w:t>
      </w:r>
      <w:r w:rsidR="00B77CAE">
        <w:t>,</w:t>
      </w:r>
      <w:r w:rsidRPr="00603058">
        <w:t xml:space="preserve"> housing providers showed an average increase of close to 15</w:t>
      </w:r>
      <w:r w:rsidR="00CE5EE5">
        <w:t xml:space="preserve"> percent</w:t>
      </w:r>
      <w:r w:rsidRPr="00603058">
        <w:t xml:space="preserve"> for expenses. </w:t>
      </w:r>
      <w:r w:rsidR="00CE5EE5">
        <w:t xml:space="preserve">The report provides </w:t>
      </w:r>
      <w:r w:rsidR="00A16D9E">
        <w:t xml:space="preserve">that </w:t>
      </w:r>
      <w:r w:rsidR="00CE5EE5">
        <w:t>t</w:t>
      </w:r>
      <w:r w:rsidRPr="00603058">
        <w:t>his increase in operating expenses is largely driven by extra cleaning and personal protective equipment (PPE).</w:t>
      </w:r>
      <w:r w:rsidR="00D23F42">
        <w:t xml:space="preserve"> </w:t>
      </w:r>
      <w:r w:rsidRPr="00603058">
        <w:t>Based on portfolio size, the survey found the increase was greatest for housing providers with 1,000 units or less, as their operating expenses increased almost 16.7</w:t>
      </w:r>
      <w:r w:rsidR="00CE5EE5">
        <w:t xml:space="preserve"> percent</w:t>
      </w:r>
      <w:r w:rsidRPr="00603058">
        <w:t>. For providers with 1,000 to 5,000 units, operating expenses increased by 14.3</w:t>
      </w:r>
      <w:r w:rsidR="00CE5EE5">
        <w:t xml:space="preserve"> percent</w:t>
      </w:r>
      <w:r w:rsidRPr="00603058">
        <w:t xml:space="preserve">. For housing providers with 5,000 units or more, operating expenses increased </w:t>
      </w:r>
      <w:r w:rsidR="00B77CAE">
        <w:t>by</w:t>
      </w:r>
      <w:r w:rsidRPr="00603058">
        <w:t xml:space="preserve"> 11.7</w:t>
      </w:r>
      <w:r w:rsidR="00CE5EE5">
        <w:t xml:space="preserve"> percent</w:t>
      </w:r>
      <w:r w:rsidRPr="00603058">
        <w:t>. Geographically, the reports shows housing providers in the Northeast faced the highest increase in expenses (18.9</w:t>
      </w:r>
      <w:r w:rsidR="00CE5EE5">
        <w:t xml:space="preserve"> percent</w:t>
      </w:r>
      <w:r w:rsidRPr="00603058">
        <w:t>), the West (15.8</w:t>
      </w:r>
      <w:r w:rsidR="00CE5EE5">
        <w:t xml:space="preserve"> percent</w:t>
      </w:r>
      <w:r w:rsidRPr="00603058">
        <w:t>), South (15.1</w:t>
      </w:r>
      <w:r w:rsidR="00CE5EE5">
        <w:t xml:space="preserve"> percent</w:t>
      </w:r>
      <w:r w:rsidRPr="00603058">
        <w:t>), Midwest (10.3</w:t>
      </w:r>
      <w:r w:rsidR="00CE5EE5">
        <w:t xml:space="preserve"> percent</w:t>
      </w:r>
      <w:r w:rsidRPr="00603058">
        <w:t>), and multi-regional providers (13.9</w:t>
      </w:r>
      <w:r w:rsidR="00CE5EE5">
        <w:t xml:space="preserve"> percent</w:t>
      </w:r>
      <w:r w:rsidRPr="00603058">
        <w:t>).</w:t>
      </w:r>
    </w:p>
    <w:p w14:paraId="696708D9" w14:textId="77777777" w:rsidR="00B5766B" w:rsidRPr="00603058" w:rsidRDefault="00B5766B" w:rsidP="00B5766B">
      <w:pPr>
        <w:tabs>
          <w:tab w:val="left" w:pos="2980"/>
        </w:tabs>
      </w:pPr>
    </w:p>
    <w:p w14:paraId="30CB62EC" w14:textId="44220176" w:rsidR="00B5766B" w:rsidRPr="00603058" w:rsidRDefault="00B5766B" w:rsidP="00B5766B">
      <w:r w:rsidRPr="00603058">
        <w:rPr>
          <w:b/>
        </w:rPr>
        <w:t>Reduced Revenue</w:t>
      </w:r>
      <w:r w:rsidR="00CE5EE5">
        <w:t>: In addition to increased expenses, the NLHA report finds</w:t>
      </w:r>
      <w:r w:rsidRPr="00603058">
        <w:t xml:space="preserve"> that almost 73</w:t>
      </w:r>
      <w:r w:rsidR="00CE5EE5">
        <w:t xml:space="preserve"> percent</w:t>
      </w:r>
      <w:r w:rsidRPr="00603058">
        <w:t xml:space="preserve"> of low- and moderate-income housing providers reported that non-payment was the main cause of the decline in revenue. The report notes that over 77</w:t>
      </w:r>
      <w:r w:rsidR="00CE5EE5">
        <w:t xml:space="preserve"> percent</w:t>
      </w:r>
      <w:r w:rsidRPr="00603058">
        <w:t xml:space="preserve"> of housing providers implemented some form </w:t>
      </w:r>
      <w:r w:rsidR="00FB2659" w:rsidRPr="00603058">
        <w:t>of flexible</w:t>
      </w:r>
      <w:r w:rsidRPr="00603058">
        <w:t xml:space="preserve"> payment policies for renters adversely impacted by the pandemic. The report also finds that almost 90</w:t>
      </w:r>
      <w:r w:rsidR="00CE5EE5">
        <w:t xml:space="preserve"> percent</w:t>
      </w:r>
      <w:r w:rsidRPr="00603058">
        <w:t xml:space="preserve"> (88.9</w:t>
      </w:r>
      <w:r w:rsidR="00CE5EE5">
        <w:t xml:space="preserve"> percent</w:t>
      </w:r>
      <w:r w:rsidRPr="00603058">
        <w:t>) of low and moderate-</w:t>
      </w:r>
      <w:r w:rsidRPr="00603058">
        <w:lastRenderedPageBreak/>
        <w:t>income housing providers saw declines in revenue because of the pandemic, with an average revenue decline close to 12</w:t>
      </w:r>
      <w:r w:rsidR="00CE5EE5">
        <w:t xml:space="preserve"> percent</w:t>
      </w:r>
      <w:r w:rsidRPr="00603058">
        <w:t>.</w:t>
      </w:r>
      <w:r w:rsidR="00D23F42">
        <w:t xml:space="preserve"> </w:t>
      </w:r>
      <w:r w:rsidRPr="00603058">
        <w:t>Similar to increased operating costs, the report finds that small housing providers (1,000 or less) experienced the greatest declines on average, with an average revenue decline close to 13</w:t>
      </w:r>
      <w:r w:rsidR="00CE5EE5">
        <w:t xml:space="preserve"> percent</w:t>
      </w:r>
      <w:r w:rsidRPr="00603058">
        <w:t xml:space="preserve"> (12.8</w:t>
      </w:r>
      <w:r w:rsidR="00CE5EE5">
        <w:t xml:space="preserve"> percent</w:t>
      </w:r>
      <w:r w:rsidRPr="00603058">
        <w:t>). In comparison, housing providers with 1,000 to 5,000 units saw an average decline around 12</w:t>
      </w:r>
      <w:r w:rsidR="00CE5EE5">
        <w:t xml:space="preserve"> percent</w:t>
      </w:r>
      <w:r w:rsidRPr="00603058">
        <w:t xml:space="preserve"> (12.2</w:t>
      </w:r>
      <w:r w:rsidR="00CE5EE5">
        <w:t xml:space="preserve"> percent</w:t>
      </w:r>
      <w:r w:rsidRPr="00603058">
        <w:t>). Geographically, housing providers in the Midwest conveyed revenue losses close to 16</w:t>
      </w:r>
      <w:r w:rsidR="00CE5EE5">
        <w:t xml:space="preserve"> percent</w:t>
      </w:r>
      <w:r w:rsidRPr="00603058">
        <w:t>; the Northeast was around 12</w:t>
      </w:r>
      <w:r w:rsidR="00CE5EE5">
        <w:t xml:space="preserve"> percent</w:t>
      </w:r>
      <w:r w:rsidR="002150F9">
        <w:t>;</w:t>
      </w:r>
      <w:r w:rsidRPr="00603058">
        <w:t xml:space="preserve"> both the South and Cross-Region were close to 11</w:t>
      </w:r>
      <w:r w:rsidR="00CE5EE5">
        <w:t xml:space="preserve"> percent</w:t>
      </w:r>
      <w:r w:rsidRPr="00603058">
        <w:t>; and the West was just over 10</w:t>
      </w:r>
      <w:r w:rsidR="00CE5EE5">
        <w:t xml:space="preserve"> percent</w:t>
      </w:r>
      <w:r w:rsidRPr="00603058">
        <w:t>.</w:t>
      </w:r>
    </w:p>
    <w:p w14:paraId="059EB567" w14:textId="77777777" w:rsidR="00B5766B" w:rsidRPr="00603058" w:rsidRDefault="00B5766B" w:rsidP="00B5766B"/>
    <w:p w14:paraId="34A1F6B4" w14:textId="2CD0AB31" w:rsidR="00B5766B" w:rsidRPr="00603058" w:rsidRDefault="00B5766B" w:rsidP="00B5766B">
      <w:r w:rsidRPr="00603058">
        <w:rPr>
          <w:b/>
        </w:rPr>
        <w:t>Financial Losses &amp; Future Investment</w:t>
      </w:r>
      <w:r w:rsidRPr="00603058">
        <w:t xml:space="preserve">: The report states that prior to the pandemic, for every dollar of rent received, 39 cents went to pay the mortgage on the property, 27 cents was used to pay operating expenses, 14 cents paid property taxes, and 10 cents </w:t>
      </w:r>
      <w:r w:rsidR="002150F9">
        <w:t>funded</w:t>
      </w:r>
      <w:r w:rsidRPr="00603058">
        <w:t xml:space="preserve"> capital expenditures. This only left housing providers with 9 cents in income on every dollar. With a nearly 12</w:t>
      </w:r>
      <w:r w:rsidR="00F20F32">
        <w:t xml:space="preserve"> </w:t>
      </w:r>
      <w:r w:rsidR="00CE5EE5">
        <w:t>percent</w:t>
      </w:r>
      <w:r w:rsidR="00F20F32">
        <w:t xml:space="preserve"> decline in rental income, </w:t>
      </w:r>
      <w:r w:rsidRPr="00603058">
        <w:t xml:space="preserve">the reports </w:t>
      </w:r>
      <w:r w:rsidR="00F20F32">
        <w:t>asserts</w:t>
      </w:r>
      <w:r w:rsidR="00F20F32" w:rsidRPr="00603058">
        <w:t xml:space="preserve"> </w:t>
      </w:r>
      <w:r w:rsidRPr="00603058">
        <w:t xml:space="preserve">that housing providers now receive 88 cents in rent instead </w:t>
      </w:r>
      <w:r w:rsidR="00F20F32">
        <w:t xml:space="preserve">of $1. In addition, the nearly </w:t>
      </w:r>
      <w:r w:rsidRPr="00603058">
        <w:t>15</w:t>
      </w:r>
      <w:r w:rsidR="00F20F32">
        <w:t xml:space="preserve"> </w:t>
      </w:r>
      <w:r w:rsidR="00CE5EE5">
        <w:t>percent</w:t>
      </w:r>
      <w:r w:rsidRPr="00603058">
        <w:t xml:space="preserve"> increase in operational costs raised expenses from 27 to 31 cents, while the mortgage and property tax contributions remain</w:t>
      </w:r>
      <w:r w:rsidR="00A16D9E">
        <w:t>ed</w:t>
      </w:r>
      <w:r w:rsidRPr="00603058">
        <w:t xml:space="preserve"> the same. With the reduced income and increased costs, the report notes that housing providers are left with only 4 cents for capital expenditures and income combined. </w:t>
      </w:r>
    </w:p>
    <w:p w14:paraId="44821967" w14:textId="77777777" w:rsidR="00B5766B" w:rsidRPr="00603058" w:rsidRDefault="00B5766B" w:rsidP="00B5766B"/>
    <w:p w14:paraId="4E155F3B" w14:textId="3F7DB2E8" w:rsidR="00B5766B" w:rsidRPr="00603058" w:rsidRDefault="00B5766B" w:rsidP="00B5766B">
      <w:r w:rsidRPr="00603058">
        <w:t>To offset financial losses, the report finds that over 56</w:t>
      </w:r>
      <w:r w:rsidR="009B7CE5">
        <w:t xml:space="preserve"> </w:t>
      </w:r>
      <w:r w:rsidR="00CE5EE5">
        <w:t>percent</w:t>
      </w:r>
      <w:r w:rsidRPr="00603058">
        <w:t xml:space="preserve"> of housing providers applied for and received aid from government relief programs. Housing providers received </w:t>
      </w:r>
      <w:r w:rsidR="00A16D9E">
        <w:t>on</w:t>
      </w:r>
      <w:r w:rsidRPr="00603058">
        <w:t xml:space="preserve"> average, </w:t>
      </w:r>
      <w:r w:rsidR="002150F9">
        <w:t>about</w:t>
      </w:r>
      <w:r w:rsidRPr="00603058">
        <w:t xml:space="preserve"> $282,841 in COVID-19 related assistance. However, the report found that only 41.5</w:t>
      </w:r>
      <w:r w:rsidR="009B7CE5">
        <w:t xml:space="preserve"> </w:t>
      </w:r>
      <w:r w:rsidR="00CE5EE5">
        <w:t>percent</w:t>
      </w:r>
      <w:r w:rsidRPr="00603058">
        <w:t xml:space="preserve"> of small housing providers received assistance ($44,288 in average assistance), compared to 76.2</w:t>
      </w:r>
      <w:r w:rsidR="009B7CE5">
        <w:t xml:space="preserve"> </w:t>
      </w:r>
      <w:r w:rsidR="00CE5EE5">
        <w:t>percent</w:t>
      </w:r>
      <w:r w:rsidRPr="00603058">
        <w:t xml:space="preserve"> of medium-sized housing providers with 1,000 to 5,000 units ($310,017 on average) and 60.6</w:t>
      </w:r>
      <w:r w:rsidR="009B7CE5">
        <w:t xml:space="preserve"> </w:t>
      </w:r>
      <w:r w:rsidR="00CE5EE5">
        <w:t>percent</w:t>
      </w:r>
      <w:r w:rsidRPr="00603058">
        <w:t xml:space="preserve"> for larger housing providers with over 5,000 units ($730,679 on average).</w:t>
      </w:r>
    </w:p>
    <w:p w14:paraId="27FFB791" w14:textId="77777777" w:rsidR="00334DA0" w:rsidRPr="00603058" w:rsidRDefault="00334DA0" w:rsidP="00B5766B"/>
    <w:p w14:paraId="2203A946" w14:textId="458A198F" w:rsidR="00B5766B" w:rsidRPr="00603058" w:rsidRDefault="00334DA0" w:rsidP="00B5766B">
      <w:r w:rsidRPr="00603058">
        <w:t xml:space="preserve">Compounding the devastating financial impact, the report finds affordable housing providers are now expressing concerns over projects in the development pipeline and their participation in future investment in affordable housing. </w:t>
      </w:r>
      <w:r w:rsidR="005040D3" w:rsidRPr="00603058">
        <w:t xml:space="preserve">The report noted that </w:t>
      </w:r>
      <w:r w:rsidR="002150F9">
        <w:t>about</w:t>
      </w:r>
      <w:r w:rsidR="005040D3" w:rsidRPr="00603058">
        <w:t xml:space="preserve"> 44</w:t>
      </w:r>
      <w:r w:rsidR="009B7CE5">
        <w:t xml:space="preserve"> </w:t>
      </w:r>
      <w:r w:rsidR="00CE5EE5">
        <w:t>percent</w:t>
      </w:r>
      <w:r w:rsidR="00B5766B" w:rsidRPr="00603058">
        <w:t xml:space="preserve"> of housing providers postpone</w:t>
      </w:r>
      <w:r w:rsidR="005040D3" w:rsidRPr="00603058">
        <w:t xml:space="preserve">d or </w:t>
      </w:r>
      <w:r w:rsidR="00B5766B" w:rsidRPr="00603058">
        <w:t>cancel</w:t>
      </w:r>
      <w:r w:rsidR="005040D3" w:rsidRPr="00603058">
        <w:t>led</w:t>
      </w:r>
      <w:r w:rsidR="00B5766B" w:rsidRPr="00603058">
        <w:t xml:space="preserve"> plans to invest</w:t>
      </w:r>
      <w:r w:rsidR="005040D3" w:rsidRPr="00603058">
        <w:t xml:space="preserve"> in affordable housing, due to </w:t>
      </w:r>
      <w:r w:rsidR="002150F9">
        <w:t xml:space="preserve">the </w:t>
      </w:r>
      <w:r w:rsidR="005040D3" w:rsidRPr="00603058">
        <w:t>pandemic</w:t>
      </w:r>
      <w:r w:rsidR="00B5766B" w:rsidRPr="00603058">
        <w:t>.</w:t>
      </w:r>
      <w:r w:rsidR="005040D3" w:rsidRPr="00603058">
        <w:t xml:space="preserve"> This finding was significantly higher, at around 50</w:t>
      </w:r>
      <w:r w:rsidR="009B7CE5">
        <w:t xml:space="preserve"> </w:t>
      </w:r>
      <w:r w:rsidR="00CE5EE5">
        <w:t>percent</w:t>
      </w:r>
      <w:r w:rsidR="005040D3" w:rsidRPr="00603058">
        <w:t>, for h</w:t>
      </w:r>
      <w:r w:rsidR="00B5766B" w:rsidRPr="00603058">
        <w:t>ousi</w:t>
      </w:r>
      <w:r w:rsidR="002150F9">
        <w:t>ng providers</w:t>
      </w:r>
      <w:r w:rsidR="005040D3" w:rsidRPr="00603058">
        <w:t xml:space="preserve"> </w:t>
      </w:r>
      <w:r w:rsidR="00B5766B" w:rsidRPr="00603058">
        <w:t>who did not receive any government assistance to offset financial losses</w:t>
      </w:r>
      <w:r w:rsidR="002150F9">
        <w:t>,</w:t>
      </w:r>
      <w:r w:rsidR="005040D3" w:rsidRPr="00603058">
        <w:t xml:space="preserve"> compared to just over 40</w:t>
      </w:r>
      <w:r w:rsidR="009B7CE5">
        <w:t xml:space="preserve"> </w:t>
      </w:r>
      <w:r w:rsidR="00CE5EE5">
        <w:t>percent</w:t>
      </w:r>
      <w:r w:rsidR="005040D3" w:rsidRPr="00603058">
        <w:t xml:space="preserve"> of housing providers </w:t>
      </w:r>
      <w:r w:rsidR="00B5766B" w:rsidRPr="00603058">
        <w:t xml:space="preserve">who received assistance. </w:t>
      </w:r>
      <w:r w:rsidR="005040D3" w:rsidRPr="00603058">
        <w:t xml:space="preserve">Lack of investment, delays in development, and uncertainty from housing providers will have a harmful and long-term impact on the rental housing market. </w:t>
      </w:r>
    </w:p>
    <w:p w14:paraId="151AFCC7" w14:textId="77777777" w:rsidR="005040D3" w:rsidRPr="00603058" w:rsidRDefault="005040D3" w:rsidP="00B5766B">
      <w:pPr>
        <w:rPr>
          <w:b/>
        </w:rPr>
      </w:pPr>
    </w:p>
    <w:p w14:paraId="53220D80" w14:textId="562E90EA" w:rsidR="005040D3" w:rsidRPr="00603058" w:rsidRDefault="002F681B" w:rsidP="005040D3">
      <w:pPr>
        <w:rPr>
          <w:b/>
        </w:rPr>
      </w:pPr>
      <w:r w:rsidRPr="00603058">
        <w:rPr>
          <w:b/>
        </w:rPr>
        <w:t>Pandemic Impacts on</w:t>
      </w:r>
      <w:r w:rsidR="005040D3" w:rsidRPr="00603058">
        <w:rPr>
          <w:b/>
        </w:rPr>
        <w:t xml:space="preserve"> Mom-and-Pop Landlords</w:t>
      </w:r>
    </w:p>
    <w:p w14:paraId="062130B5" w14:textId="77777777" w:rsidR="002F681B" w:rsidRPr="00603058" w:rsidRDefault="002F681B" w:rsidP="00B5766B">
      <w:pPr>
        <w:rPr>
          <w:color w:val="666666"/>
          <w:shd w:val="clear" w:color="auto" w:fill="FFFFFF"/>
        </w:rPr>
      </w:pPr>
    </w:p>
    <w:p w14:paraId="69841D23" w14:textId="71F89CE5" w:rsidR="001904F2" w:rsidRPr="00603058" w:rsidRDefault="002C4ED1" w:rsidP="002F681B">
      <w:r>
        <w:t>“</w:t>
      </w:r>
      <w:r w:rsidR="002F681B" w:rsidRPr="00603058">
        <w:t>Mom-and-</w:t>
      </w:r>
      <w:r>
        <w:t>P</w:t>
      </w:r>
      <w:r w:rsidR="002F681B" w:rsidRPr="00603058">
        <w:t>op</w:t>
      </w:r>
      <w:r>
        <w:t>”</w:t>
      </w:r>
      <w:r w:rsidR="002F681B" w:rsidRPr="00603058">
        <w:t xml:space="preserve"> l</w:t>
      </w:r>
      <w:r w:rsidR="001904F2" w:rsidRPr="00603058">
        <w:t>andlords</w:t>
      </w:r>
      <w:r w:rsidR="002F681B" w:rsidRPr="00603058">
        <w:t xml:space="preserve">, individual landlords who own fewer than 10 properties, </w:t>
      </w:r>
      <w:r w:rsidR="001904F2" w:rsidRPr="00603058">
        <w:t>are</w:t>
      </w:r>
      <w:r w:rsidR="002F681B" w:rsidRPr="00603058">
        <w:t xml:space="preserve"> also</w:t>
      </w:r>
      <w:r w:rsidR="001904F2" w:rsidRPr="00603058">
        <w:t xml:space="preserve"> </w:t>
      </w:r>
      <w:r w:rsidR="002F681B" w:rsidRPr="00603058">
        <w:t>facing</w:t>
      </w:r>
      <w:r w:rsidR="001904F2" w:rsidRPr="00603058">
        <w:t xml:space="preserve"> tough times</w:t>
      </w:r>
      <w:r w:rsidR="002F681B" w:rsidRPr="00603058">
        <w:t xml:space="preserve"> during the pandemic. This was highlighted in findings from a</w:t>
      </w:r>
      <w:r w:rsidR="00C330C6" w:rsidRPr="00603058">
        <w:t>n</w:t>
      </w:r>
      <w:r>
        <w:t xml:space="preserve"> October survey </w:t>
      </w:r>
      <w:r w:rsidR="002F681B" w:rsidRPr="00603058">
        <w:t xml:space="preserve">conducted by the Urban Institute and </w:t>
      </w:r>
      <w:r w:rsidR="001904F2" w:rsidRPr="00603058">
        <w:t xml:space="preserve">Avail, a platform that </w:t>
      </w:r>
      <w:r w:rsidR="002F681B" w:rsidRPr="00603058">
        <w:t>“</w:t>
      </w:r>
      <w:r w:rsidR="001904F2" w:rsidRPr="00603058">
        <w:t>helps do-it-yourself, mom-and-pop landlords manage their units, s</w:t>
      </w:r>
      <w:r w:rsidR="002F681B" w:rsidRPr="00603058">
        <w:t>creen tenants, and collect rent</w:t>
      </w:r>
      <w:r w:rsidR="001904F2" w:rsidRPr="00603058">
        <w:t>.</w:t>
      </w:r>
      <w:r w:rsidR="002F681B" w:rsidRPr="00603058">
        <w:t>”</w:t>
      </w:r>
      <w:r w:rsidR="00D23F42">
        <w:t xml:space="preserve"> </w:t>
      </w:r>
      <w:r w:rsidR="00C330C6" w:rsidRPr="00603058">
        <w:t>This survey collected responses from 1,381 landlords who own a rental property</w:t>
      </w:r>
      <w:r>
        <w:t>,</w:t>
      </w:r>
      <w:r w:rsidR="00C330C6" w:rsidRPr="00603058">
        <w:t xml:space="preserve"> and the </w:t>
      </w:r>
      <w:r w:rsidR="002F681B" w:rsidRPr="00603058">
        <w:t xml:space="preserve">major finding </w:t>
      </w:r>
      <w:r w:rsidR="00C330C6" w:rsidRPr="00603058">
        <w:t>was</w:t>
      </w:r>
      <w:r w:rsidR="002F681B" w:rsidRPr="00603058">
        <w:t xml:space="preserve"> that </w:t>
      </w:r>
      <w:r>
        <w:t>M</w:t>
      </w:r>
      <w:r w:rsidR="001904F2" w:rsidRPr="00603058">
        <w:t>om-and-</w:t>
      </w:r>
      <w:r>
        <w:t>P</w:t>
      </w:r>
      <w:r w:rsidR="001904F2" w:rsidRPr="00603058">
        <w:t xml:space="preserve">op landlords are under </w:t>
      </w:r>
      <w:r w:rsidR="002F681B" w:rsidRPr="00603058">
        <w:t xml:space="preserve">significant </w:t>
      </w:r>
      <w:r>
        <w:t>financial pressure</w:t>
      </w:r>
      <w:r w:rsidR="002F681B" w:rsidRPr="00603058">
        <w:t xml:space="preserve"> due to less rent collections and increased vacancies. As a result, a rising number have tightened tenant screening and a growing number are </w:t>
      </w:r>
      <w:r w:rsidR="001904F2" w:rsidRPr="00603058">
        <w:t>consider</w:t>
      </w:r>
      <w:r w:rsidR="002F681B" w:rsidRPr="00603058">
        <w:t>ing</w:t>
      </w:r>
      <w:r w:rsidR="001904F2" w:rsidRPr="00603058">
        <w:t xml:space="preserve"> </w:t>
      </w:r>
      <w:r w:rsidR="002F681B" w:rsidRPr="00603058">
        <w:t>sell</w:t>
      </w:r>
      <w:r>
        <w:t>ing</w:t>
      </w:r>
      <w:r w:rsidR="001904F2" w:rsidRPr="00603058">
        <w:t xml:space="preserve"> their </w:t>
      </w:r>
      <w:r w:rsidR="002F681B" w:rsidRPr="00603058">
        <w:t xml:space="preserve">properties. </w:t>
      </w:r>
    </w:p>
    <w:p w14:paraId="181A25B6" w14:textId="77777777" w:rsidR="00C330C6" w:rsidRPr="00603058" w:rsidRDefault="00C330C6" w:rsidP="002F681B"/>
    <w:p w14:paraId="17311E25" w14:textId="75DB4250" w:rsidR="001904F2" w:rsidRPr="00603058" w:rsidRDefault="001904F2" w:rsidP="00C330C6">
      <w:r w:rsidRPr="00603058">
        <w:rPr>
          <w:b/>
        </w:rPr>
        <w:t xml:space="preserve">Increased vacancies </w:t>
      </w:r>
      <w:r w:rsidR="002C4ED1">
        <w:rPr>
          <w:b/>
        </w:rPr>
        <w:t>and</w:t>
      </w:r>
      <w:r w:rsidRPr="00603058">
        <w:rPr>
          <w:b/>
        </w:rPr>
        <w:t xml:space="preserve"> decreased rent collections</w:t>
      </w:r>
      <w:r w:rsidR="00C330C6" w:rsidRPr="00603058">
        <w:rPr>
          <w:b/>
        </w:rPr>
        <w:t xml:space="preserve">: </w:t>
      </w:r>
      <w:r w:rsidR="00C330C6" w:rsidRPr="00603058">
        <w:t xml:space="preserve">The October survey found that </w:t>
      </w:r>
      <w:r w:rsidR="002C4ED1">
        <w:t>about</w:t>
      </w:r>
      <w:r w:rsidR="00C330C6" w:rsidRPr="00603058">
        <w:t xml:space="preserve"> 35</w:t>
      </w:r>
      <w:r w:rsidR="009B7CE5">
        <w:t xml:space="preserve"> </w:t>
      </w:r>
      <w:r w:rsidR="00CE5EE5">
        <w:t>percent</w:t>
      </w:r>
      <w:r w:rsidR="00C330C6" w:rsidRPr="00603058">
        <w:t xml:space="preserve"> </w:t>
      </w:r>
      <w:r w:rsidR="002C4ED1">
        <w:t>of M</w:t>
      </w:r>
      <w:r w:rsidR="00C330C6" w:rsidRPr="00603058">
        <w:t>om-and-</w:t>
      </w:r>
      <w:r w:rsidR="002C4ED1">
        <w:t>P</w:t>
      </w:r>
      <w:r w:rsidR="00C330C6" w:rsidRPr="00603058">
        <w:t xml:space="preserve">op landlords </w:t>
      </w:r>
      <w:r w:rsidRPr="00603058">
        <w:t xml:space="preserve">did not receive </w:t>
      </w:r>
      <w:r w:rsidR="00C330C6" w:rsidRPr="00603058">
        <w:t xml:space="preserve">the entirety of </w:t>
      </w:r>
      <w:r w:rsidRPr="00603058">
        <w:t xml:space="preserve">rent </w:t>
      </w:r>
      <w:r w:rsidR="00C330C6" w:rsidRPr="00603058">
        <w:t>payments for September, and just over 38</w:t>
      </w:r>
      <w:r w:rsidR="009B7CE5">
        <w:t xml:space="preserve"> </w:t>
      </w:r>
      <w:r w:rsidR="00CE5EE5">
        <w:t>percent</w:t>
      </w:r>
      <w:r w:rsidR="00C330C6" w:rsidRPr="00603058">
        <w:t xml:space="preserve"> </w:t>
      </w:r>
      <w:r w:rsidR="00A16D9E">
        <w:t>did</w:t>
      </w:r>
      <w:r w:rsidRPr="00603058">
        <w:t xml:space="preserve"> not expect to receive full rent payments in October. </w:t>
      </w:r>
      <w:r w:rsidR="00C330C6" w:rsidRPr="00603058">
        <w:t xml:space="preserve">Respondents </w:t>
      </w:r>
      <w:r w:rsidR="00C330C6" w:rsidRPr="00603058">
        <w:lastRenderedPageBreak/>
        <w:t>indicated this result was caused by a blend</w:t>
      </w:r>
      <w:r w:rsidRPr="00603058">
        <w:t xml:space="preserve"> of three factors: </w:t>
      </w:r>
      <w:r w:rsidR="00C330C6" w:rsidRPr="00603058">
        <w:t xml:space="preserve">unit </w:t>
      </w:r>
      <w:r w:rsidRPr="00603058">
        <w:t>vacancies, tenants who did not pay their full rent, and tenants who were offered a discount or rent deferment. </w:t>
      </w:r>
      <w:r w:rsidR="00C330C6" w:rsidRPr="00603058">
        <w:t>Specifically, over 18</w:t>
      </w:r>
      <w:r w:rsidR="009B7CE5">
        <w:t xml:space="preserve"> </w:t>
      </w:r>
      <w:r w:rsidR="00CE5EE5">
        <w:t>percent</w:t>
      </w:r>
      <w:r w:rsidR="00C330C6" w:rsidRPr="00603058">
        <w:t xml:space="preserve"> </w:t>
      </w:r>
      <w:r w:rsidRPr="00603058">
        <w:t xml:space="preserve">of </w:t>
      </w:r>
      <w:r w:rsidR="002C4ED1">
        <w:t>M</w:t>
      </w:r>
      <w:r w:rsidR="00C330C6" w:rsidRPr="00603058">
        <w:t>om-and-Pop landlords indicated</w:t>
      </w:r>
      <w:r w:rsidRPr="00603058">
        <w:t xml:space="preserve"> their vacancy rates have increased since the start of the COVID-19 pandemic.</w:t>
      </w:r>
    </w:p>
    <w:p w14:paraId="26FA7BEE" w14:textId="77777777" w:rsidR="001904F2" w:rsidRPr="00603058" w:rsidRDefault="001904F2" w:rsidP="001904F2">
      <w:pPr>
        <w:rPr>
          <w:b/>
        </w:rPr>
      </w:pPr>
    </w:p>
    <w:p w14:paraId="30BF41EC" w14:textId="7E8E7B09" w:rsidR="001904F2" w:rsidRPr="00603058" w:rsidRDefault="001904F2" w:rsidP="00FC055D">
      <w:r w:rsidRPr="00603058">
        <w:rPr>
          <w:b/>
        </w:rPr>
        <w:t>Pressure to Sell Properties</w:t>
      </w:r>
      <w:r w:rsidR="00C330C6" w:rsidRPr="00603058">
        <w:rPr>
          <w:b/>
        </w:rPr>
        <w:t>:</w:t>
      </w:r>
      <w:r w:rsidR="00FC055D" w:rsidRPr="00603058">
        <w:rPr>
          <w:b/>
        </w:rPr>
        <w:t xml:space="preserve"> </w:t>
      </w:r>
      <w:r w:rsidR="00C330C6" w:rsidRPr="00603058">
        <w:t>As a result of financial strain from decreased rent collections and more vacancies, m</w:t>
      </w:r>
      <w:r w:rsidRPr="00603058">
        <w:t xml:space="preserve">ore </w:t>
      </w:r>
      <w:r w:rsidR="00C330C6" w:rsidRPr="00603058">
        <w:t xml:space="preserve">Mom-and-Pop landlords </w:t>
      </w:r>
      <w:r w:rsidRPr="00603058">
        <w:t xml:space="preserve">are </w:t>
      </w:r>
      <w:r w:rsidR="00C330C6" w:rsidRPr="00603058">
        <w:t>facing</w:t>
      </w:r>
      <w:r w:rsidRPr="00603058">
        <w:t xml:space="preserve"> pressure to sell their properties. </w:t>
      </w:r>
      <w:r w:rsidR="00C330C6" w:rsidRPr="00603058">
        <w:t>The survey found that “n</w:t>
      </w:r>
      <w:r w:rsidR="00CE5EE5">
        <w:t>early 31</w:t>
      </w:r>
      <w:r w:rsidR="009B7CE5">
        <w:t xml:space="preserve"> </w:t>
      </w:r>
      <w:r w:rsidR="00CE5EE5">
        <w:t xml:space="preserve">percent </w:t>
      </w:r>
      <w:r w:rsidRPr="00603058">
        <w:t>of responding landlords said they had felt more financial pressure to sell their properties during the pandemic than before the pandemic.</w:t>
      </w:r>
      <w:r w:rsidR="00C330C6" w:rsidRPr="00603058">
        <w:t>”</w:t>
      </w:r>
      <w:r w:rsidRPr="00603058">
        <w:t xml:space="preserve"> </w:t>
      </w:r>
      <w:r w:rsidR="00A16D9E">
        <w:t>57 percent of these landlords said t</w:t>
      </w:r>
      <w:r w:rsidR="00C330C6" w:rsidRPr="00603058">
        <w:t>he primary reason for this pressure was the reduction in rental income.</w:t>
      </w:r>
      <w:r w:rsidR="00D23F42">
        <w:t xml:space="preserve"> </w:t>
      </w:r>
    </w:p>
    <w:p w14:paraId="0E7EB5C6" w14:textId="77777777" w:rsidR="001904F2" w:rsidRPr="00603058" w:rsidRDefault="001904F2" w:rsidP="001904F2"/>
    <w:p w14:paraId="340F133F" w14:textId="1A3F6473" w:rsidR="001904F2" w:rsidRPr="00603058" w:rsidRDefault="001904F2" w:rsidP="00FC055D">
      <w:r w:rsidRPr="00603058">
        <w:rPr>
          <w:b/>
        </w:rPr>
        <w:t>Tightening Screening Criteria</w:t>
      </w:r>
      <w:r w:rsidR="00FC055D" w:rsidRPr="00603058">
        <w:rPr>
          <w:b/>
        </w:rPr>
        <w:t xml:space="preserve">: </w:t>
      </w:r>
      <w:r w:rsidR="00FC055D" w:rsidRPr="00603058">
        <w:t>Mom-and-Pop landlords have become</w:t>
      </w:r>
      <w:r w:rsidRPr="00603058">
        <w:t xml:space="preserve"> more cautious when </w:t>
      </w:r>
      <w:r w:rsidR="00FC055D" w:rsidRPr="00603058">
        <w:t>screening potential new tenants, even with increased vacancies. The survey found that over 35</w:t>
      </w:r>
      <w:r w:rsidR="009B7CE5">
        <w:t xml:space="preserve"> </w:t>
      </w:r>
      <w:r w:rsidR="00CE5EE5">
        <w:t>percent</w:t>
      </w:r>
      <w:r w:rsidR="00FC055D" w:rsidRPr="00603058">
        <w:t xml:space="preserve"> of respondents</w:t>
      </w:r>
      <w:r w:rsidRPr="00603058">
        <w:t xml:space="preserve"> </w:t>
      </w:r>
      <w:r w:rsidR="00FC055D" w:rsidRPr="00603058">
        <w:t>said</w:t>
      </w:r>
      <w:r w:rsidRPr="00603058">
        <w:t xml:space="preserve"> they have tight</w:t>
      </w:r>
      <w:r w:rsidR="00FC055D" w:rsidRPr="00603058">
        <w:t>ened their screening criteria</w:t>
      </w:r>
      <w:r w:rsidRPr="00603058">
        <w:t xml:space="preserve"> to secure a more financially stable tenant.</w:t>
      </w:r>
      <w:r w:rsidR="00FC055D" w:rsidRPr="00603058">
        <w:t xml:space="preserve"> In addition, </w:t>
      </w:r>
      <w:r w:rsidRPr="00603058">
        <w:t>Black and Hispanic landlords are more sensitive about pr</w:t>
      </w:r>
      <w:r w:rsidR="00FC055D" w:rsidRPr="00603058">
        <w:t>evious eviction records. About half</w:t>
      </w:r>
      <w:r w:rsidRPr="00603058">
        <w:t xml:space="preserve"> of Black and Hispanic landlords </w:t>
      </w:r>
      <w:r w:rsidR="00FC055D" w:rsidRPr="00603058">
        <w:t xml:space="preserve">indicated they are doing </w:t>
      </w:r>
      <w:r w:rsidRPr="00603058">
        <w:t xml:space="preserve">more thorough screening of previous evictions, </w:t>
      </w:r>
      <w:r w:rsidR="00FC055D" w:rsidRPr="00603058">
        <w:t xml:space="preserve">compared to </w:t>
      </w:r>
      <w:r w:rsidR="002C4ED1">
        <w:t>about</w:t>
      </w:r>
      <w:r w:rsidR="00FC055D" w:rsidRPr="00603058">
        <w:t xml:space="preserve"> 35</w:t>
      </w:r>
      <w:r w:rsidR="009B7CE5">
        <w:t xml:space="preserve"> </w:t>
      </w:r>
      <w:r w:rsidR="00CE5EE5">
        <w:t>percent</w:t>
      </w:r>
      <w:r w:rsidR="00FC055D" w:rsidRPr="00603058">
        <w:t xml:space="preserve"> of white landlords </w:t>
      </w:r>
      <w:r w:rsidRPr="00603058">
        <w:t>implementing a similar screening.</w:t>
      </w:r>
      <w:r w:rsidR="00FC055D" w:rsidRPr="00603058">
        <w:t xml:space="preserve"> The report notes that “</w:t>
      </w:r>
      <w:r w:rsidRPr="00603058">
        <w:t>Black and Hispanic landlords are more likely to own two-to-four-unit rental buildings; these more affordable units disproportionately serve lower-income communities w</w:t>
      </w:r>
      <w:r w:rsidR="002C4ED1">
        <w:t>here eviction rates are higher.”</w:t>
      </w:r>
    </w:p>
    <w:p w14:paraId="0181B588" w14:textId="77777777" w:rsidR="00B5766B" w:rsidRPr="00603058" w:rsidRDefault="00B5766B" w:rsidP="00B5766B"/>
    <w:p w14:paraId="681DC060" w14:textId="77777777" w:rsidR="00B5766B" w:rsidRPr="00603058" w:rsidRDefault="00B5766B" w:rsidP="00B5766B">
      <w:pPr>
        <w:rPr>
          <w:b/>
        </w:rPr>
      </w:pPr>
      <w:r w:rsidRPr="00603058">
        <w:rPr>
          <w:b/>
        </w:rPr>
        <w:t>COVID-19 Impact on Affordable Senior Housing Providers</w:t>
      </w:r>
    </w:p>
    <w:p w14:paraId="586A15E4" w14:textId="77777777" w:rsidR="00B5766B" w:rsidRPr="00603058" w:rsidRDefault="00B5766B" w:rsidP="00B5766B">
      <w:pPr>
        <w:rPr>
          <w:b/>
        </w:rPr>
      </w:pPr>
    </w:p>
    <w:p w14:paraId="37FAB30D" w14:textId="33CF4C59" w:rsidR="00FC055D" w:rsidRPr="00603058" w:rsidRDefault="00B5766B" w:rsidP="00B5766B">
      <w:r w:rsidRPr="00603058">
        <w:t xml:space="preserve">A survey of nonprofit senior housing providers by LeadingAge, </w:t>
      </w:r>
      <w:r w:rsidRPr="00603058">
        <w:rPr>
          <w:color w:val="121316"/>
          <w:shd w:val="clear" w:color="auto" w:fill="FFFFFF"/>
        </w:rPr>
        <w:t xml:space="preserve">fielded in early October, asked affordable senior housing providers about the impact of </w:t>
      </w:r>
      <w:r w:rsidR="005040D3" w:rsidRPr="00603058">
        <w:rPr>
          <w:color w:val="121316"/>
          <w:shd w:val="clear" w:color="auto" w:fill="FFFFFF"/>
        </w:rPr>
        <w:t xml:space="preserve">COVID-19 </w:t>
      </w:r>
      <w:r w:rsidR="00EC7E22">
        <w:rPr>
          <w:color w:val="121316"/>
          <w:shd w:val="clear" w:color="auto" w:fill="FFFFFF"/>
        </w:rPr>
        <w:t>on</w:t>
      </w:r>
      <w:r w:rsidR="005040D3" w:rsidRPr="00603058">
        <w:rPr>
          <w:color w:val="121316"/>
          <w:shd w:val="clear" w:color="auto" w:fill="FFFFFF"/>
        </w:rPr>
        <w:t xml:space="preserve"> their communities. The r</w:t>
      </w:r>
      <w:r w:rsidRPr="00603058">
        <w:rPr>
          <w:color w:val="121316"/>
          <w:shd w:val="clear" w:color="auto" w:fill="FFFFFF"/>
        </w:rPr>
        <w:t>esults, based on</w:t>
      </w:r>
      <w:r w:rsidR="005040D3" w:rsidRPr="00603058">
        <w:rPr>
          <w:color w:val="121316"/>
          <w:shd w:val="clear" w:color="auto" w:fill="FFFFFF"/>
        </w:rPr>
        <w:t xml:space="preserve"> feedback from</w:t>
      </w:r>
      <w:r w:rsidRPr="00603058">
        <w:rPr>
          <w:color w:val="121316"/>
          <w:shd w:val="clear" w:color="auto" w:fill="FFFFFF"/>
        </w:rPr>
        <w:t xml:space="preserve"> </w:t>
      </w:r>
      <w:r w:rsidR="005040D3" w:rsidRPr="00603058">
        <w:rPr>
          <w:color w:val="121316"/>
          <w:shd w:val="clear" w:color="auto" w:fill="FFFFFF"/>
        </w:rPr>
        <w:t>over 270 online survey respondents</w:t>
      </w:r>
      <w:r w:rsidRPr="00603058">
        <w:rPr>
          <w:color w:val="121316"/>
          <w:shd w:val="clear" w:color="auto" w:fill="FFFFFF"/>
        </w:rPr>
        <w:t>, highlight the many challenges affordable senior housing providers are facing during the pandemic.</w:t>
      </w:r>
      <w:r w:rsidRPr="00603058">
        <w:t xml:space="preserve"> </w:t>
      </w:r>
    </w:p>
    <w:p w14:paraId="37919AF4" w14:textId="77777777" w:rsidR="00FC055D" w:rsidRPr="00603058" w:rsidRDefault="00FC055D" w:rsidP="00B5766B"/>
    <w:p w14:paraId="78C1B0B9" w14:textId="19801F9B" w:rsidR="00B5766B" w:rsidRPr="00603058" w:rsidRDefault="00FC055D" w:rsidP="00B5766B">
      <w:r w:rsidRPr="00603058">
        <w:rPr>
          <w:b/>
        </w:rPr>
        <w:t>COVID-19 cases on properties</w:t>
      </w:r>
      <w:r w:rsidRPr="00603058">
        <w:t xml:space="preserve">: </w:t>
      </w:r>
      <w:r w:rsidR="00B5766B" w:rsidRPr="00603058">
        <w:t>The survey showed that more than half (59.7</w:t>
      </w:r>
      <w:r w:rsidR="009B7CE5">
        <w:t xml:space="preserve"> </w:t>
      </w:r>
      <w:r w:rsidR="00CE5EE5">
        <w:t>percent</w:t>
      </w:r>
      <w:r w:rsidR="00B5766B" w:rsidRPr="00603058">
        <w:t xml:space="preserve">) of respondents </w:t>
      </w:r>
      <w:r w:rsidR="00EC7E22">
        <w:t>we</w:t>
      </w:r>
      <w:r w:rsidR="00B5766B" w:rsidRPr="00603058">
        <w:t>re aware of confirmed COVID-19 cases in their communities.</w:t>
      </w:r>
      <w:r w:rsidRPr="00603058">
        <w:t xml:space="preserve"> As indicated in the survey’s press release, </w:t>
      </w:r>
      <w:r w:rsidRPr="00603058">
        <w:rPr>
          <w:color w:val="121316"/>
          <w:shd w:val="clear" w:color="auto" w:fill="FFFFFF"/>
        </w:rPr>
        <w:t>this</w:t>
      </w:r>
      <w:r w:rsidR="00B5766B" w:rsidRPr="00603058">
        <w:rPr>
          <w:color w:val="121316"/>
          <w:shd w:val="clear" w:color="auto" w:fill="FFFFFF"/>
        </w:rPr>
        <w:t xml:space="preserve"> data is troubling given that older adults are particularly at risk of falling ill and dying of COVID-19. To date, 80</w:t>
      </w:r>
      <w:r w:rsidR="009B7CE5">
        <w:rPr>
          <w:color w:val="121316"/>
          <w:shd w:val="clear" w:color="auto" w:fill="FFFFFF"/>
        </w:rPr>
        <w:t xml:space="preserve"> </w:t>
      </w:r>
      <w:r w:rsidR="00CE5EE5">
        <w:rPr>
          <w:color w:val="121316"/>
          <w:shd w:val="clear" w:color="auto" w:fill="FFFFFF"/>
        </w:rPr>
        <w:t>percent</w:t>
      </w:r>
      <w:r w:rsidR="00B5766B" w:rsidRPr="00603058">
        <w:rPr>
          <w:color w:val="121316"/>
          <w:shd w:val="clear" w:color="auto" w:fill="FFFFFF"/>
        </w:rPr>
        <w:t xml:space="preserve"> of all COVID-19 deaths are among people age 65 and older. People of color, those with low incomes and those in congregate living settings have also been disproportionately impacted, research shows.</w:t>
      </w:r>
    </w:p>
    <w:p w14:paraId="39A59BD9" w14:textId="77777777" w:rsidR="00B5766B" w:rsidRPr="00603058" w:rsidRDefault="00B5766B" w:rsidP="00B5766B">
      <w:pPr>
        <w:rPr>
          <w:color w:val="121316"/>
          <w:shd w:val="clear" w:color="auto" w:fill="FFFFFF"/>
        </w:rPr>
      </w:pPr>
    </w:p>
    <w:p w14:paraId="39050139" w14:textId="493206CD" w:rsidR="00FC055D" w:rsidRPr="00603058" w:rsidRDefault="00FC055D" w:rsidP="00B5766B">
      <w:pPr>
        <w:rPr>
          <w:color w:val="121316"/>
          <w:shd w:val="clear" w:color="auto" w:fill="FFFFFF"/>
        </w:rPr>
      </w:pPr>
      <w:r w:rsidRPr="00603058">
        <w:rPr>
          <w:b/>
          <w:color w:val="121316"/>
          <w:shd w:val="clear" w:color="auto" w:fill="FFFFFF"/>
        </w:rPr>
        <w:t>Impacts on Resident Engagement and Services</w:t>
      </w:r>
      <w:r w:rsidRPr="00603058">
        <w:rPr>
          <w:color w:val="121316"/>
          <w:shd w:val="clear" w:color="auto" w:fill="FFFFFF"/>
        </w:rPr>
        <w:t xml:space="preserve">: </w:t>
      </w:r>
      <w:r w:rsidR="00B5766B" w:rsidRPr="00603058">
        <w:rPr>
          <w:color w:val="121316"/>
          <w:shd w:val="clear" w:color="auto" w:fill="FFFFFF"/>
        </w:rPr>
        <w:t>The survey also found that 84</w:t>
      </w:r>
      <w:r w:rsidR="009B7CE5">
        <w:rPr>
          <w:color w:val="121316"/>
          <w:shd w:val="clear" w:color="auto" w:fill="FFFFFF"/>
        </w:rPr>
        <w:t xml:space="preserve"> </w:t>
      </w:r>
      <w:r w:rsidR="00CE5EE5">
        <w:rPr>
          <w:color w:val="121316"/>
          <w:shd w:val="clear" w:color="auto" w:fill="FFFFFF"/>
        </w:rPr>
        <w:t>percent</w:t>
      </w:r>
      <w:r w:rsidR="00B5766B" w:rsidRPr="00603058">
        <w:rPr>
          <w:color w:val="121316"/>
          <w:shd w:val="clear" w:color="auto" w:fill="FFFFFF"/>
        </w:rPr>
        <w:t xml:space="preserve"> of affordable housing providers consider resident social isolation and access to services to be the top challenge in the next three months. </w:t>
      </w:r>
    </w:p>
    <w:p w14:paraId="54F9A310" w14:textId="77777777" w:rsidR="00FC055D" w:rsidRPr="00603058" w:rsidRDefault="00FC055D" w:rsidP="00B5766B">
      <w:pPr>
        <w:rPr>
          <w:color w:val="121316"/>
          <w:shd w:val="clear" w:color="auto" w:fill="FFFFFF"/>
        </w:rPr>
      </w:pPr>
    </w:p>
    <w:p w14:paraId="2158AA60" w14:textId="51571946" w:rsidR="00B5766B" w:rsidRPr="00603058" w:rsidRDefault="00FC055D" w:rsidP="00B5766B">
      <w:pPr>
        <w:rPr>
          <w:color w:val="121316"/>
          <w:shd w:val="clear" w:color="auto" w:fill="FFFFFF"/>
        </w:rPr>
      </w:pPr>
      <w:r w:rsidRPr="00603058">
        <w:rPr>
          <w:b/>
          <w:color w:val="121316"/>
          <w:shd w:val="clear" w:color="auto" w:fill="FFFFFF"/>
        </w:rPr>
        <w:t>Financial Strains</w:t>
      </w:r>
      <w:r w:rsidRPr="00603058">
        <w:rPr>
          <w:color w:val="121316"/>
          <w:shd w:val="clear" w:color="auto" w:fill="FFFFFF"/>
        </w:rPr>
        <w:t xml:space="preserve">: The survey highlighted that respondents </w:t>
      </w:r>
      <w:r w:rsidR="00B5766B" w:rsidRPr="00603058">
        <w:rPr>
          <w:color w:val="121316"/>
          <w:shd w:val="clear" w:color="auto" w:fill="FFFFFF"/>
        </w:rPr>
        <w:t>also report financial strains as a result of the pandemic: the majority (69</w:t>
      </w:r>
      <w:r w:rsidR="009B7CE5">
        <w:rPr>
          <w:color w:val="121316"/>
          <w:shd w:val="clear" w:color="auto" w:fill="FFFFFF"/>
        </w:rPr>
        <w:t xml:space="preserve"> </w:t>
      </w:r>
      <w:r w:rsidR="00CE5EE5">
        <w:rPr>
          <w:color w:val="121316"/>
          <w:shd w:val="clear" w:color="auto" w:fill="FFFFFF"/>
        </w:rPr>
        <w:t>percent</w:t>
      </w:r>
      <w:r w:rsidR="00B5766B" w:rsidRPr="00603058">
        <w:rPr>
          <w:color w:val="121316"/>
          <w:shd w:val="clear" w:color="auto" w:fill="FFFFFF"/>
        </w:rPr>
        <w:t xml:space="preserve">) say they are </w:t>
      </w:r>
      <w:r w:rsidR="00EC7E22">
        <w:rPr>
          <w:color w:val="121316"/>
          <w:shd w:val="clear" w:color="auto" w:fill="FFFFFF"/>
        </w:rPr>
        <w:t>“</w:t>
      </w:r>
      <w:r w:rsidR="00B5766B" w:rsidRPr="00603058">
        <w:rPr>
          <w:color w:val="121316"/>
          <w:shd w:val="clear" w:color="auto" w:fill="FFFFFF"/>
        </w:rPr>
        <w:t>cost-burdened</w:t>
      </w:r>
      <w:r w:rsidR="00EC7E22">
        <w:rPr>
          <w:color w:val="121316"/>
          <w:shd w:val="clear" w:color="auto" w:fill="FFFFFF"/>
        </w:rPr>
        <w:t>”</w:t>
      </w:r>
      <w:r w:rsidR="00B5766B" w:rsidRPr="00603058">
        <w:rPr>
          <w:color w:val="121316"/>
          <w:shd w:val="clear" w:color="auto" w:fill="FFFFFF"/>
        </w:rPr>
        <w:t xml:space="preserve"> or </w:t>
      </w:r>
      <w:r w:rsidR="00EC7E22">
        <w:rPr>
          <w:color w:val="121316"/>
          <w:shd w:val="clear" w:color="auto" w:fill="FFFFFF"/>
        </w:rPr>
        <w:t>“</w:t>
      </w:r>
      <w:r w:rsidR="00B5766B" w:rsidRPr="00603058">
        <w:rPr>
          <w:color w:val="121316"/>
          <w:shd w:val="clear" w:color="auto" w:fill="FFFFFF"/>
        </w:rPr>
        <w:t>severely cost-burdened</w:t>
      </w:r>
      <w:r w:rsidR="00EC7E22">
        <w:rPr>
          <w:color w:val="121316"/>
          <w:shd w:val="clear" w:color="auto" w:fill="FFFFFF"/>
        </w:rPr>
        <w:t>”</w:t>
      </w:r>
      <w:r w:rsidR="00B5766B" w:rsidRPr="00603058">
        <w:rPr>
          <w:color w:val="121316"/>
          <w:shd w:val="clear" w:color="auto" w:fill="FFFFFF"/>
        </w:rPr>
        <w:t xml:space="preserve"> from having to pay for PPE, cleaning supplies, thermometers, and other </w:t>
      </w:r>
      <w:r w:rsidR="00EC7E22">
        <w:rPr>
          <w:color w:val="121316"/>
          <w:shd w:val="clear" w:color="auto" w:fill="FFFFFF"/>
        </w:rPr>
        <w:t xml:space="preserve">screening </w:t>
      </w:r>
      <w:r w:rsidR="00B5766B" w:rsidRPr="00603058">
        <w:rPr>
          <w:color w:val="121316"/>
          <w:shd w:val="clear" w:color="auto" w:fill="FFFFFF"/>
        </w:rPr>
        <w:t xml:space="preserve">tools. </w:t>
      </w:r>
    </w:p>
    <w:p w14:paraId="618CF6D8" w14:textId="77777777" w:rsidR="00B5766B" w:rsidRPr="00603058" w:rsidRDefault="00B5766B" w:rsidP="00B5766B">
      <w:pPr>
        <w:rPr>
          <w:b/>
        </w:rPr>
      </w:pPr>
    </w:p>
    <w:p w14:paraId="77E6B1BA" w14:textId="77777777" w:rsidR="00B5766B" w:rsidRPr="00603058" w:rsidRDefault="00B5766B" w:rsidP="00B5766B">
      <w:pPr>
        <w:rPr>
          <w:b/>
        </w:rPr>
      </w:pPr>
      <w:r w:rsidRPr="00603058">
        <w:rPr>
          <w:b/>
        </w:rPr>
        <w:t>Conclusion</w:t>
      </w:r>
    </w:p>
    <w:p w14:paraId="683D3709" w14:textId="77777777" w:rsidR="00B5766B" w:rsidRPr="00603058" w:rsidRDefault="00B5766B" w:rsidP="00B5766B">
      <w:pPr>
        <w:rPr>
          <w:b/>
        </w:rPr>
      </w:pPr>
    </w:p>
    <w:p w14:paraId="21538D5C" w14:textId="58B9EB4D" w:rsidR="00B5766B" w:rsidRPr="00EC7E22" w:rsidRDefault="00EC7E22" w:rsidP="00B5766B">
      <w:r>
        <w:t>T</w:t>
      </w:r>
      <w:r w:rsidR="008B274F" w:rsidRPr="00603058">
        <w:t>he</w:t>
      </w:r>
      <w:r w:rsidR="00603058" w:rsidRPr="00603058">
        <w:t xml:space="preserve"> findings above highlight how the</w:t>
      </w:r>
      <w:r w:rsidR="008B274F" w:rsidRPr="00603058">
        <w:t xml:space="preserve"> pandemic has adversely impacted</w:t>
      </w:r>
      <w:r w:rsidR="00B5766B" w:rsidRPr="00603058">
        <w:t xml:space="preserve"> </w:t>
      </w:r>
      <w:r w:rsidR="008B274F" w:rsidRPr="00603058">
        <w:t>the entire rental housing market</w:t>
      </w:r>
      <w:r w:rsidR="0060766C">
        <w:t xml:space="preserve"> and its various stakeholders</w:t>
      </w:r>
      <w:r w:rsidR="008B274F" w:rsidRPr="00603058">
        <w:t xml:space="preserve">. </w:t>
      </w:r>
      <w:r w:rsidR="0060766C">
        <w:t>Currently, t</w:t>
      </w:r>
      <w:r w:rsidR="008B274F" w:rsidRPr="00603058">
        <w:t xml:space="preserve">he pandemic is placing severe financial pressure on </w:t>
      </w:r>
      <w:r w:rsidR="00B5766B" w:rsidRPr="00603058">
        <w:t>housing providers,</w:t>
      </w:r>
      <w:r w:rsidR="008B274F" w:rsidRPr="00603058">
        <w:t xml:space="preserve"> renters, and service providers. </w:t>
      </w:r>
      <w:r w:rsidR="00603058" w:rsidRPr="00603058">
        <w:t xml:space="preserve">NAHMA and </w:t>
      </w:r>
      <w:r w:rsidR="008B274F" w:rsidRPr="00603058">
        <w:t xml:space="preserve">industry colleagues </w:t>
      </w:r>
      <w:r w:rsidR="0060766C">
        <w:t>have been</w:t>
      </w:r>
      <w:r w:rsidR="008B274F" w:rsidRPr="00603058">
        <w:t xml:space="preserve"> expressing frustration with the lack of government assistance</w:t>
      </w:r>
      <w:r w:rsidR="0060766C">
        <w:t xml:space="preserve"> to meet the</w:t>
      </w:r>
      <w:r>
        <w:t>se</w:t>
      </w:r>
      <w:r w:rsidR="0060766C">
        <w:t xml:space="preserve"> urgent needs</w:t>
      </w:r>
      <w:r w:rsidR="008B274F" w:rsidRPr="00603058">
        <w:t xml:space="preserve">. Additional rental assistance or unemployment insurance is </w:t>
      </w:r>
      <w:r w:rsidR="008B274F" w:rsidRPr="00603058">
        <w:lastRenderedPageBreak/>
        <w:t>needed to provide financial support for renters and mitigate t</w:t>
      </w:r>
      <w:r w:rsidR="0060766C">
        <w:t>he decreased rent collections.</w:t>
      </w:r>
      <w:r w:rsidR="00D23F42">
        <w:t xml:space="preserve"> </w:t>
      </w:r>
      <w:r w:rsidR="005141E2">
        <w:t xml:space="preserve">It is imperative that </w:t>
      </w:r>
      <w:r w:rsidR="000426D8">
        <w:t>Congress and the Administration act to address this</w:t>
      </w:r>
      <w:r w:rsidR="005141E2">
        <w:t xml:space="preserve"> matter, before it is too late</w:t>
      </w:r>
      <w:r w:rsidR="000426D8">
        <w:t xml:space="preserve">. </w:t>
      </w:r>
    </w:p>
    <w:sectPr w:rsidR="00B5766B" w:rsidRPr="00EC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w:altName w:val="Times New Roman"/>
    <w:charset w:val="00"/>
    <w:family w:val="auto"/>
    <w:pitch w:val="default"/>
  </w:font>
  <w:font w:name="Times New Roman M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0350"/>
    <w:multiLevelType w:val="hybridMultilevel"/>
    <w:tmpl w:val="A49A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4F2925"/>
    <w:multiLevelType w:val="hybridMultilevel"/>
    <w:tmpl w:val="39D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213EB"/>
    <w:multiLevelType w:val="hybridMultilevel"/>
    <w:tmpl w:val="5F98C3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10C7D"/>
    <w:multiLevelType w:val="hybridMultilevel"/>
    <w:tmpl w:val="E1CA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756227"/>
    <w:multiLevelType w:val="hybridMultilevel"/>
    <w:tmpl w:val="F64C5D48"/>
    <w:lvl w:ilvl="0" w:tplc="2AF8BD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385047"/>
    <w:multiLevelType w:val="hybridMultilevel"/>
    <w:tmpl w:val="EE5E2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D309AC"/>
    <w:multiLevelType w:val="multilevel"/>
    <w:tmpl w:val="580E9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57"/>
    <w:rsid w:val="00016DEA"/>
    <w:rsid w:val="00024D1E"/>
    <w:rsid w:val="000426D8"/>
    <w:rsid w:val="00070E78"/>
    <w:rsid w:val="00071BAF"/>
    <w:rsid w:val="000B5F80"/>
    <w:rsid w:val="000E38CA"/>
    <w:rsid w:val="00100FF1"/>
    <w:rsid w:val="00110464"/>
    <w:rsid w:val="001257CF"/>
    <w:rsid w:val="001463BB"/>
    <w:rsid w:val="001778BA"/>
    <w:rsid w:val="001904F2"/>
    <w:rsid w:val="001C3289"/>
    <w:rsid w:val="001F7204"/>
    <w:rsid w:val="002150F9"/>
    <w:rsid w:val="00290670"/>
    <w:rsid w:val="002C4ED1"/>
    <w:rsid w:val="002D1CE3"/>
    <w:rsid w:val="002E1A79"/>
    <w:rsid w:val="002F41E6"/>
    <w:rsid w:val="002F681B"/>
    <w:rsid w:val="00327EB4"/>
    <w:rsid w:val="00334DA0"/>
    <w:rsid w:val="00344613"/>
    <w:rsid w:val="003747A7"/>
    <w:rsid w:val="003844FD"/>
    <w:rsid w:val="00387FB0"/>
    <w:rsid w:val="003A2626"/>
    <w:rsid w:val="003C22BB"/>
    <w:rsid w:val="003C4050"/>
    <w:rsid w:val="003D5992"/>
    <w:rsid w:val="003E4F53"/>
    <w:rsid w:val="00405F07"/>
    <w:rsid w:val="00406D72"/>
    <w:rsid w:val="00407AD4"/>
    <w:rsid w:val="00447EEC"/>
    <w:rsid w:val="004644C2"/>
    <w:rsid w:val="00485CE6"/>
    <w:rsid w:val="004C0E04"/>
    <w:rsid w:val="005040D3"/>
    <w:rsid w:val="005141E2"/>
    <w:rsid w:val="00553C4D"/>
    <w:rsid w:val="005718DA"/>
    <w:rsid w:val="005A2B7E"/>
    <w:rsid w:val="005B4A26"/>
    <w:rsid w:val="005B6674"/>
    <w:rsid w:val="005E5A9F"/>
    <w:rsid w:val="00603058"/>
    <w:rsid w:val="0060766C"/>
    <w:rsid w:val="00624C34"/>
    <w:rsid w:val="00625901"/>
    <w:rsid w:val="00632139"/>
    <w:rsid w:val="00653F21"/>
    <w:rsid w:val="006574C3"/>
    <w:rsid w:val="00677BB1"/>
    <w:rsid w:val="006819DF"/>
    <w:rsid w:val="006F6329"/>
    <w:rsid w:val="00713586"/>
    <w:rsid w:val="00731DCC"/>
    <w:rsid w:val="00734011"/>
    <w:rsid w:val="00767D1B"/>
    <w:rsid w:val="007B7736"/>
    <w:rsid w:val="007F34DA"/>
    <w:rsid w:val="00812C9E"/>
    <w:rsid w:val="0089021E"/>
    <w:rsid w:val="008B274F"/>
    <w:rsid w:val="008C4D27"/>
    <w:rsid w:val="008E22B0"/>
    <w:rsid w:val="008F0255"/>
    <w:rsid w:val="008F3195"/>
    <w:rsid w:val="008F4206"/>
    <w:rsid w:val="0093401D"/>
    <w:rsid w:val="009425DA"/>
    <w:rsid w:val="009547E7"/>
    <w:rsid w:val="00990CD9"/>
    <w:rsid w:val="009B668B"/>
    <w:rsid w:val="009B7CE5"/>
    <w:rsid w:val="009C14B5"/>
    <w:rsid w:val="009D0F5F"/>
    <w:rsid w:val="009D726D"/>
    <w:rsid w:val="009F3393"/>
    <w:rsid w:val="00A00357"/>
    <w:rsid w:val="00A03491"/>
    <w:rsid w:val="00A16D9E"/>
    <w:rsid w:val="00A26865"/>
    <w:rsid w:val="00A30B6F"/>
    <w:rsid w:val="00AA21FC"/>
    <w:rsid w:val="00B05847"/>
    <w:rsid w:val="00B5766B"/>
    <w:rsid w:val="00B77CAE"/>
    <w:rsid w:val="00B96644"/>
    <w:rsid w:val="00BA232B"/>
    <w:rsid w:val="00BC3CA8"/>
    <w:rsid w:val="00BD7D89"/>
    <w:rsid w:val="00BE1855"/>
    <w:rsid w:val="00BF1AA1"/>
    <w:rsid w:val="00C330C6"/>
    <w:rsid w:val="00C33126"/>
    <w:rsid w:val="00C53424"/>
    <w:rsid w:val="00C71CAE"/>
    <w:rsid w:val="00C97FC6"/>
    <w:rsid w:val="00CA54B1"/>
    <w:rsid w:val="00CE5EE5"/>
    <w:rsid w:val="00CF469A"/>
    <w:rsid w:val="00D23F42"/>
    <w:rsid w:val="00D3395C"/>
    <w:rsid w:val="00D468D2"/>
    <w:rsid w:val="00D960DC"/>
    <w:rsid w:val="00DA4718"/>
    <w:rsid w:val="00E437C8"/>
    <w:rsid w:val="00E514C6"/>
    <w:rsid w:val="00EC7E22"/>
    <w:rsid w:val="00F0452A"/>
    <w:rsid w:val="00F20F32"/>
    <w:rsid w:val="00F231D6"/>
    <w:rsid w:val="00F73C5C"/>
    <w:rsid w:val="00FA145F"/>
    <w:rsid w:val="00FB2659"/>
    <w:rsid w:val="00FC055D"/>
    <w:rsid w:val="00FC06B3"/>
    <w:rsid w:val="00FF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6CC5"/>
  <w15:chartTrackingRefBased/>
  <w15:docId w15:val="{FA1B6CFB-F6CD-47B8-8924-9944348F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357"/>
    <w:pPr>
      <w:spacing w:after="0" w:line="240" w:lineRule="auto"/>
    </w:pPr>
    <w:rPr>
      <w:rFonts w:ascii="Arial" w:hAnsi="Arial" w:cs="Arial"/>
    </w:rPr>
  </w:style>
  <w:style w:type="paragraph" w:styleId="Heading1">
    <w:name w:val="heading 1"/>
    <w:basedOn w:val="Normal"/>
    <w:next w:val="Normal"/>
    <w:link w:val="Heading1Char"/>
    <w:uiPriority w:val="9"/>
    <w:qFormat/>
    <w:rsid w:val="00BF1A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1904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357"/>
    <w:rPr>
      <w:color w:val="0000FF"/>
      <w:u w:val="single"/>
    </w:rPr>
  </w:style>
  <w:style w:type="table" w:styleId="TableGrid">
    <w:name w:val="Table Grid"/>
    <w:basedOn w:val="TableNormal"/>
    <w:uiPriority w:val="39"/>
    <w:rsid w:val="00A0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31D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8F319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1778B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78BA"/>
    <w:rPr>
      <w:b/>
      <w:bCs/>
    </w:rPr>
  </w:style>
  <w:style w:type="paragraph" w:styleId="BalloonText">
    <w:name w:val="Balloon Text"/>
    <w:basedOn w:val="Normal"/>
    <w:link w:val="BalloonTextChar"/>
    <w:uiPriority w:val="99"/>
    <w:semiHidden/>
    <w:unhideWhenUsed/>
    <w:rsid w:val="00E5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C6"/>
    <w:rPr>
      <w:rFonts w:ascii="Segoe UI" w:hAnsi="Segoe UI" w:cs="Segoe UI"/>
      <w:sz w:val="18"/>
      <w:szCs w:val="18"/>
    </w:rPr>
  </w:style>
  <w:style w:type="character" w:customStyle="1" w:styleId="Heading1Char">
    <w:name w:val="Heading 1 Char"/>
    <w:basedOn w:val="DefaultParagraphFont"/>
    <w:link w:val="Heading1"/>
    <w:uiPriority w:val="9"/>
    <w:rsid w:val="00BF1AA1"/>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06D72"/>
    <w:rPr>
      <w:color w:val="954F72" w:themeColor="followedHyperlink"/>
      <w:u w:val="single"/>
    </w:rPr>
  </w:style>
  <w:style w:type="table" w:styleId="PlainTable4">
    <w:name w:val="Plain Table 4"/>
    <w:basedOn w:val="TableNormal"/>
    <w:uiPriority w:val="44"/>
    <w:rsid w:val="00405F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2D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95C"/>
    <w:pPr>
      <w:ind w:left="720"/>
      <w:contextualSpacing/>
    </w:pPr>
  </w:style>
  <w:style w:type="character" w:styleId="CommentReference">
    <w:name w:val="annotation reference"/>
    <w:basedOn w:val="DefaultParagraphFont"/>
    <w:uiPriority w:val="99"/>
    <w:semiHidden/>
    <w:unhideWhenUsed/>
    <w:rsid w:val="00344613"/>
    <w:rPr>
      <w:sz w:val="16"/>
      <w:szCs w:val="16"/>
    </w:rPr>
  </w:style>
  <w:style w:type="paragraph" w:styleId="CommentText">
    <w:name w:val="annotation text"/>
    <w:basedOn w:val="Normal"/>
    <w:link w:val="CommentTextChar"/>
    <w:uiPriority w:val="99"/>
    <w:semiHidden/>
    <w:unhideWhenUsed/>
    <w:rsid w:val="00344613"/>
    <w:rPr>
      <w:sz w:val="20"/>
      <w:szCs w:val="20"/>
    </w:rPr>
  </w:style>
  <w:style w:type="character" w:customStyle="1" w:styleId="CommentTextChar">
    <w:name w:val="Comment Text Char"/>
    <w:basedOn w:val="DefaultParagraphFont"/>
    <w:link w:val="CommentText"/>
    <w:uiPriority w:val="99"/>
    <w:semiHidden/>
    <w:rsid w:val="0034461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44613"/>
    <w:rPr>
      <w:b/>
      <w:bCs/>
    </w:rPr>
  </w:style>
  <w:style w:type="character" w:customStyle="1" w:styleId="CommentSubjectChar">
    <w:name w:val="Comment Subject Char"/>
    <w:basedOn w:val="CommentTextChar"/>
    <w:link w:val="CommentSubject"/>
    <w:uiPriority w:val="99"/>
    <w:semiHidden/>
    <w:rsid w:val="00344613"/>
    <w:rPr>
      <w:rFonts w:ascii="Arial" w:hAnsi="Arial" w:cs="Arial"/>
      <w:b/>
      <w:bCs/>
      <w:sz w:val="20"/>
      <w:szCs w:val="20"/>
    </w:rPr>
  </w:style>
  <w:style w:type="character" w:customStyle="1" w:styleId="Heading4Char">
    <w:name w:val="Heading 4 Char"/>
    <w:basedOn w:val="DefaultParagraphFont"/>
    <w:link w:val="Heading4"/>
    <w:uiPriority w:val="9"/>
    <w:semiHidden/>
    <w:rsid w:val="001904F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334">
      <w:bodyDiv w:val="1"/>
      <w:marLeft w:val="0"/>
      <w:marRight w:val="0"/>
      <w:marTop w:val="0"/>
      <w:marBottom w:val="0"/>
      <w:divBdr>
        <w:top w:val="none" w:sz="0" w:space="0" w:color="auto"/>
        <w:left w:val="none" w:sz="0" w:space="0" w:color="auto"/>
        <w:bottom w:val="none" w:sz="0" w:space="0" w:color="auto"/>
        <w:right w:val="none" w:sz="0" w:space="0" w:color="auto"/>
      </w:divBdr>
    </w:div>
    <w:div w:id="136805552">
      <w:bodyDiv w:val="1"/>
      <w:marLeft w:val="0"/>
      <w:marRight w:val="0"/>
      <w:marTop w:val="0"/>
      <w:marBottom w:val="0"/>
      <w:divBdr>
        <w:top w:val="none" w:sz="0" w:space="0" w:color="auto"/>
        <w:left w:val="none" w:sz="0" w:space="0" w:color="auto"/>
        <w:bottom w:val="none" w:sz="0" w:space="0" w:color="auto"/>
        <w:right w:val="none" w:sz="0" w:space="0" w:color="auto"/>
      </w:divBdr>
    </w:div>
    <w:div w:id="374089319">
      <w:bodyDiv w:val="1"/>
      <w:marLeft w:val="0"/>
      <w:marRight w:val="0"/>
      <w:marTop w:val="0"/>
      <w:marBottom w:val="0"/>
      <w:divBdr>
        <w:top w:val="none" w:sz="0" w:space="0" w:color="auto"/>
        <w:left w:val="none" w:sz="0" w:space="0" w:color="auto"/>
        <w:bottom w:val="none" w:sz="0" w:space="0" w:color="auto"/>
        <w:right w:val="none" w:sz="0" w:space="0" w:color="auto"/>
      </w:divBdr>
    </w:div>
    <w:div w:id="487945929">
      <w:bodyDiv w:val="1"/>
      <w:marLeft w:val="0"/>
      <w:marRight w:val="0"/>
      <w:marTop w:val="0"/>
      <w:marBottom w:val="0"/>
      <w:divBdr>
        <w:top w:val="none" w:sz="0" w:space="0" w:color="auto"/>
        <w:left w:val="none" w:sz="0" w:space="0" w:color="auto"/>
        <w:bottom w:val="none" w:sz="0" w:space="0" w:color="auto"/>
        <w:right w:val="none" w:sz="0" w:space="0" w:color="auto"/>
      </w:divBdr>
    </w:div>
    <w:div w:id="551425736">
      <w:bodyDiv w:val="1"/>
      <w:marLeft w:val="0"/>
      <w:marRight w:val="0"/>
      <w:marTop w:val="0"/>
      <w:marBottom w:val="0"/>
      <w:divBdr>
        <w:top w:val="none" w:sz="0" w:space="0" w:color="auto"/>
        <w:left w:val="none" w:sz="0" w:space="0" w:color="auto"/>
        <w:bottom w:val="none" w:sz="0" w:space="0" w:color="auto"/>
        <w:right w:val="none" w:sz="0" w:space="0" w:color="auto"/>
      </w:divBdr>
    </w:div>
    <w:div w:id="738479596">
      <w:bodyDiv w:val="1"/>
      <w:marLeft w:val="0"/>
      <w:marRight w:val="0"/>
      <w:marTop w:val="0"/>
      <w:marBottom w:val="0"/>
      <w:divBdr>
        <w:top w:val="none" w:sz="0" w:space="0" w:color="auto"/>
        <w:left w:val="none" w:sz="0" w:space="0" w:color="auto"/>
        <w:bottom w:val="none" w:sz="0" w:space="0" w:color="auto"/>
        <w:right w:val="none" w:sz="0" w:space="0" w:color="auto"/>
      </w:divBdr>
    </w:div>
    <w:div w:id="799759598">
      <w:bodyDiv w:val="1"/>
      <w:marLeft w:val="0"/>
      <w:marRight w:val="0"/>
      <w:marTop w:val="0"/>
      <w:marBottom w:val="0"/>
      <w:divBdr>
        <w:top w:val="none" w:sz="0" w:space="0" w:color="auto"/>
        <w:left w:val="none" w:sz="0" w:space="0" w:color="auto"/>
        <w:bottom w:val="none" w:sz="0" w:space="0" w:color="auto"/>
        <w:right w:val="none" w:sz="0" w:space="0" w:color="auto"/>
      </w:divBdr>
    </w:div>
    <w:div w:id="920796983">
      <w:bodyDiv w:val="1"/>
      <w:marLeft w:val="0"/>
      <w:marRight w:val="0"/>
      <w:marTop w:val="0"/>
      <w:marBottom w:val="0"/>
      <w:divBdr>
        <w:top w:val="none" w:sz="0" w:space="0" w:color="auto"/>
        <w:left w:val="none" w:sz="0" w:space="0" w:color="auto"/>
        <w:bottom w:val="none" w:sz="0" w:space="0" w:color="auto"/>
        <w:right w:val="none" w:sz="0" w:space="0" w:color="auto"/>
      </w:divBdr>
    </w:div>
    <w:div w:id="955407318">
      <w:bodyDiv w:val="1"/>
      <w:marLeft w:val="0"/>
      <w:marRight w:val="0"/>
      <w:marTop w:val="0"/>
      <w:marBottom w:val="0"/>
      <w:divBdr>
        <w:top w:val="none" w:sz="0" w:space="0" w:color="auto"/>
        <w:left w:val="none" w:sz="0" w:space="0" w:color="auto"/>
        <w:bottom w:val="none" w:sz="0" w:space="0" w:color="auto"/>
        <w:right w:val="none" w:sz="0" w:space="0" w:color="auto"/>
      </w:divBdr>
    </w:div>
    <w:div w:id="957107728">
      <w:bodyDiv w:val="1"/>
      <w:marLeft w:val="0"/>
      <w:marRight w:val="0"/>
      <w:marTop w:val="0"/>
      <w:marBottom w:val="0"/>
      <w:divBdr>
        <w:top w:val="none" w:sz="0" w:space="0" w:color="auto"/>
        <w:left w:val="none" w:sz="0" w:space="0" w:color="auto"/>
        <w:bottom w:val="none" w:sz="0" w:space="0" w:color="auto"/>
        <w:right w:val="none" w:sz="0" w:space="0" w:color="auto"/>
      </w:divBdr>
    </w:div>
    <w:div w:id="1193887282">
      <w:bodyDiv w:val="1"/>
      <w:marLeft w:val="0"/>
      <w:marRight w:val="0"/>
      <w:marTop w:val="0"/>
      <w:marBottom w:val="0"/>
      <w:divBdr>
        <w:top w:val="none" w:sz="0" w:space="0" w:color="auto"/>
        <w:left w:val="none" w:sz="0" w:space="0" w:color="auto"/>
        <w:bottom w:val="none" w:sz="0" w:space="0" w:color="auto"/>
        <w:right w:val="none" w:sz="0" w:space="0" w:color="auto"/>
      </w:divBdr>
    </w:div>
    <w:div w:id="1392731284">
      <w:bodyDiv w:val="1"/>
      <w:marLeft w:val="0"/>
      <w:marRight w:val="0"/>
      <w:marTop w:val="0"/>
      <w:marBottom w:val="0"/>
      <w:divBdr>
        <w:top w:val="none" w:sz="0" w:space="0" w:color="auto"/>
        <w:left w:val="none" w:sz="0" w:space="0" w:color="auto"/>
        <w:bottom w:val="none" w:sz="0" w:space="0" w:color="auto"/>
        <w:right w:val="none" w:sz="0" w:space="0" w:color="auto"/>
      </w:divBdr>
    </w:div>
    <w:div w:id="1652250998">
      <w:bodyDiv w:val="1"/>
      <w:marLeft w:val="0"/>
      <w:marRight w:val="0"/>
      <w:marTop w:val="0"/>
      <w:marBottom w:val="0"/>
      <w:divBdr>
        <w:top w:val="none" w:sz="0" w:space="0" w:color="auto"/>
        <w:left w:val="none" w:sz="0" w:space="0" w:color="auto"/>
        <w:bottom w:val="none" w:sz="0" w:space="0" w:color="auto"/>
        <w:right w:val="none" w:sz="0" w:space="0" w:color="auto"/>
      </w:divBdr>
    </w:div>
    <w:div w:id="1865168901">
      <w:bodyDiv w:val="1"/>
      <w:marLeft w:val="0"/>
      <w:marRight w:val="0"/>
      <w:marTop w:val="0"/>
      <w:marBottom w:val="0"/>
      <w:divBdr>
        <w:top w:val="none" w:sz="0" w:space="0" w:color="auto"/>
        <w:left w:val="none" w:sz="0" w:space="0" w:color="auto"/>
        <w:bottom w:val="none" w:sz="0" w:space="0" w:color="auto"/>
        <w:right w:val="none" w:sz="0" w:space="0" w:color="auto"/>
      </w:divBdr>
    </w:div>
    <w:div w:id="21177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CE18EC.2A69AC40" TargetMode="External"/><Relationship Id="rId12" Type="http://schemas.openxmlformats.org/officeDocument/2006/relationships/hyperlink" Target="https://www.urban.org/urban-wire/mounting-pressures-mom-and-pop-landlords-could-spell-trouble-affordable-rental-mark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eadingage.org/almost-60-affordable-senior-housing-providers-surveyed-report-covid-cases%E2%80%94and-even-more-are" TargetMode="External"/><Relationship Id="rId5" Type="http://schemas.openxmlformats.org/officeDocument/2006/relationships/webSettings" Target="webSettings.xml"/><Relationship Id="rId10" Type="http://schemas.openxmlformats.org/officeDocument/2006/relationships/hyperlink" Target="https://hudnlha.com/wp-content/uploads/documents/NLHA%20Housing%20Provider%20Impacts%20of%20COVID%20Final%20Oct%202020.pdf?utm_source=mc%e2%80%8b&amp;utm_medium=email%e2%80%8b&amp;utm_campaign=todayinhousing%e2%80%8b&amp;utm_term=20201006-00Q1O00001d2YdFUAU%e2%80%8b&amp;utm_content=tihoct620&amp;sfmckey=bGtleXNAbmFobWEub3Jn&amp;j=159515&amp;sfmc_sub=12964652&amp;l=2081_HTML&amp;u=10142866&amp;mid=10965565&amp;jb=7" TargetMode="External"/><Relationship Id="rId4" Type="http://schemas.openxmlformats.org/officeDocument/2006/relationships/settings" Target="settings.xml"/><Relationship Id="rId9" Type="http://schemas.openxmlformats.org/officeDocument/2006/relationships/hyperlink" Target="http://www.nahm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7A25-971E-4C7C-AA0B-B8B2DD2D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McMillen</dc:creator>
  <cp:keywords/>
  <dc:description/>
  <cp:lastModifiedBy>Kris Cook</cp:lastModifiedBy>
  <cp:revision>7</cp:revision>
  <cp:lastPrinted>2019-05-03T17:03:00Z</cp:lastPrinted>
  <dcterms:created xsi:type="dcterms:W3CDTF">2020-12-11T21:59:00Z</dcterms:created>
  <dcterms:modified xsi:type="dcterms:W3CDTF">2020-12-11T22:17:00Z</dcterms:modified>
</cp:coreProperties>
</file>